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er+xml" PartName="/word/footer16.xml"/>
  <Override ContentType="application/vnd.openxmlformats-officedocument.wordprocessingml.footer+xml" PartName="/word/footer17.xml"/>
  <Override ContentType="application/vnd.openxmlformats-officedocument.wordprocessingml.footer+xml" PartName="/word/footer18.xml"/>
  <Override ContentType="application/vnd.openxmlformats-officedocument.wordprocessingml.footer+xml" PartName="/word/footer19.xml"/>
  <Override ContentType="application/vnd.openxmlformats-officedocument.wordprocessingml.footer+xml" PartName="/word/footer20.xml"/>
  <Override ContentType="application/vnd.openxmlformats-officedocument.wordprocessingml.footer+xml" PartName="/word/footer21.xml"/>
  <Override ContentType="application/vnd.openxmlformats-officedocument.wordprocessingml.footer+xml" PartName="/word/footer22.xml"/>
  <Override ContentType="application/vnd.openxmlformats-officedocument.wordprocessingml.footer+xml" PartName="/word/footer23.xml"/>
  <Override ContentType="application/vnd.openxmlformats-officedocument.wordprocessingml.footer+xml" PartName="/word/footer24.xml"/>
  <Override ContentType="application/vnd.openxmlformats-officedocument.wordprocessingml.footer+xml" PartName="/word/footer25.xml"/>
  <Override ContentType="application/vnd.openxmlformats-officedocument.wordprocessingml.footer+xml" PartName="/word/footer26.xml"/>
  <Override ContentType="application/vnd.openxmlformats-officedocument.wordprocessingml.footer+xml" PartName="/word/footer27.xml"/>
  <Override ContentType="application/vnd.openxmlformats-officedocument.wordprocessingml.footer+xml" PartName="/word/footer28.xml"/>
  <Override ContentType="application/vnd.openxmlformats-officedocument.wordprocessingml.footer+xml" PartName="/word/footer29.xml"/>
  <Override ContentType="application/vnd.openxmlformats-officedocument.wordprocessingml.footer+xml" PartName="/word/footer30.xml"/>
  <Override ContentType="application/vnd.openxmlformats-officedocument.wordprocessingml.footer+xml" PartName="/word/footer31.xml"/>
  <Override ContentType="application/vnd.openxmlformats-officedocument.wordprocessingml.footer+xml" PartName="/word/footer32.xml"/>
  <Override ContentType="application/vnd.openxmlformats-officedocument.wordprocessingml.footer+xml" PartName="/word/footer33.xml"/>
  <Override ContentType="application/vnd.openxmlformats-officedocument.wordprocessingml.footer+xml" PartName="/word/footer34.xml"/>
  <Override ContentType="application/vnd.openxmlformats-officedocument.wordprocessingml.footer+xml" PartName="/word/footer35.xml"/>
  <Override ContentType="application/vnd.openxmlformats-officedocument.wordprocessingml.footer+xml" PartName="/word/footer36.xml"/>
  <Override ContentType="application/vnd.openxmlformats-officedocument.wordprocessingml.footer+xml" PartName="/word/footer37.xml"/>
  <Override ContentType="application/vnd.openxmlformats-officedocument.wordprocessingml.footer+xml" PartName="/word/footer38.xml"/>
  <Override ContentType="application/vnd.openxmlformats-officedocument.wordprocessingml.footer+xml" PartName="/word/footer39.xml"/>
  <Override ContentType="application/vnd.openxmlformats-officedocument.wordprocessingml.footer+xml" PartName="/word/footer40.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 Id="rId4" Target="docProps/custom.xml" Type="http://schemas.openxmlformats.org/officeDocument/2006/relationships/custom-properties"/>
</Relationships>

</file>

<file path=word/document.xml><?xml version="1.0" encoding="utf-8"?>
<w:document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background w:color="FFFFFF" w:themeColor="background1"/>
  <w:body>
    <w:p w14:paraId="4F3E525A" w14:textId="77777777" w:rsidR="00ED7E69" w:rsidRDefault="00ED7E69">
      <w:pPr>
        <w:rPr>
          <w:rFonts w:ascii="仿宋" w:eastAsia="仿宋" w:hAnsi="仿宋"/>
          <w:color w:val="000000"/>
          <w:sz w:val="28"/>
          <w:szCs w:val="28"/>
        </w:rPr>
      </w:pPr>
    </w:p>
    <w:p w14:paraId="24EA3571" w14:textId="383A3A0B" w:rsidR="00ED7E69" w:rsidRDefault="00083714">
      <w:pPr>
        <w:spacing w:line="520" w:lineRule="exact"/>
        <w:jc w:val="center"/>
        <w:rPr>
          <w:rFonts w:ascii="仿宋_GB2312" w:cs="宋体" w:eastAsia="黑体" w:hAnsi="黑体"/>
          <w:b/>
          <w:bCs/>
          <w:sz w:val="24"/>
          <w:szCs w:val="24"/>
        </w:rPr>
      </w:pPr>
      <w:r>
        <w:rPr>
          <w:rFonts w:ascii="黑体" w:cs="宋体" w:eastAsia="黑体" w:hAnsi="黑体" w:hint="eastAsia"/>
          <w:sz w:val="24"/>
          <w:szCs w:val="24"/>
        </w:rPr>
        <w:t xml:space="preserve">                           </w:t>
      </w:r>
    </w:p>
    <w:p w14:paraId="4810F55C" w14:textId="77777777" w:rsidR="00ED7E69" w:rsidRDefault="00ED7E69">
      <w:pPr>
        <w:rPr>
          <w:rFonts w:ascii="仿宋" w:eastAsia="仿宋" w:hAnsi="仿宋"/>
          <w:color w:val="000000"/>
          <w:sz w:val="28"/>
          <w:szCs w:val="28"/>
        </w:rPr>
      </w:pPr>
    </w:p>
    <w:p w14:paraId="4DA1A4EF" w14:textId="77777777" w:rsidR="00ED7E69" w:rsidRDefault="00ED7E69">
      <w:pPr>
        <w:rPr>
          <w:rFonts w:ascii="仿宋" w:eastAsia="仿宋" w:hAnsi="仿宋"/>
          <w:color w:val="000000"/>
          <w:sz w:val="28"/>
          <w:szCs w:val="28"/>
        </w:rPr>
      </w:pPr>
    </w:p>
    <w:p w14:paraId="4D414ED9" w14:textId="77777777" w:rsidR="00ED7E69" w:rsidRDefault="00ED7E69">
      <w:pPr>
        <w:rPr>
          <w:rFonts w:ascii="仿宋" w:eastAsia="仿宋" w:hAnsi="仿宋"/>
          <w:color w:val="000000"/>
          <w:sz w:val="28"/>
          <w:szCs w:val="28"/>
        </w:rPr>
      </w:pPr>
    </w:p>
    <w:p w14:paraId="5D7AB57E" w14:textId="77777777" w:rsidR="00ED7E69" w:rsidRDefault="00ED7E69">
      <w:pPr>
        <w:rPr>
          <w:rFonts w:ascii="仿宋" w:eastAsia="仿宋" w:hAnsi="仿宋"/>
          <w:color w:val="000000"/>
          <w:sz w:val="28"/>
          <w:szCs w:val="28"/>
        </w:rPr>
      </w:pPr>
    </w:p>
    <w:p w14:paraId="47919ABC" w14:textId="77777777" w:rsidR="00ED7E69" w:rsidRDefault="00ED7E69">
      <w:pPr>
        <w:rPr>
          <w:rFonts w:ascii="仿宋" w:eastAsia="仿宋" w:hAnsi="仿宋"/>
          <w:color w:val="000000"/>
          <w:sz w:val="28"/>
          <w:szCs w:val="28"/>
        </w:rPr>
      </w:pPr>
    </w:p>
    <w:p w14:paraId="37E9F0B8" w14:textId="77777777" w:rsidR="00ED7E69" w:rsidRDefault="00ED7E69">
      <w:pPr>
        <w:rPr>
          <w:rFonts w:ascii="仿宋" w:eastAsia="仿宋" w:hAnsi="仿宋"/>
          <w:color w:val="000000"/>
          <w:sz w:val="28"/>
          <w:szCs w:val="28"/>
        </w:rPr>
      </w:pPr>
    </w:p>
    <w:p w14:paraId="24C49531" w14:textId="77777777" w:rsidR="00ED7E69" w:rsidRDefault="00ED7E69">
      <w:pPr>
        <w:rPr>
          <w:rFonts w:ascii="仿宋" w:eastAsia="仿宋" w:hAnsi="仿宋"/>
          <w:color w:val="000000"/>
          <w:sz w:val="28"/>
          <w:szCs w:val="28"/>
        </w:rPr>
      </w:pPr>
    </w:p>
    <w:p w14:paraId="249C442E" w14:textId="77777777" w:rsidR="00ED7E69" w:rsidRDefault="00ED7E69">
      <w:pPr>
        <w:rPr>
          <w:rFonts w:ascii="仿宋" w:eastAsia="仿宋" w:hAnsi="仿宋"/>
          <w:color w:val="000000"/>
          <w:sz w:val="28"/>
          <w:szCs w:val="28"/>
        </w:rPr>
      </w:pPr>
    </w:p>
    <w:p w14:paraId="19F06836" w14:textId="69075A7C" w:rsidR="00ED7E69" w:rsidRDefault="005771CA">
      <w:pPr>
        <w:jc w:val="center"/>
        <w:rPr>
          <w:b/>
          <w:color w:val="000000"/>
          <w:sz w:val="36"/>
          <w:szCs w:val="36"/>
        </w:rPr>
      </w:pPr>
      <w:bookmarkStart w:id="0" w:name="_Toc123701382"/>
      <w:bookmarkStart w:id="1" w:name="_Toc139992300"/>
      <w:bookmarkStart w:id="2" w:name="_Toc123112223"/>
      <w:bookmarkStart w:id="3" w:name="_Toc139991725"/>
      <w:bookmarkStart w:id="4" w:name="_Toc123112262"/>
      <w:r>
        <w:rPr>
          <w:rFonts w:hint="eastAsia"/>
          <w:b/>
          <w:color w:val="000000"/>
          <w:sz w:val="36"/>
          <w:szCs w:val="36"/>
        </w:rPr>
        <w:t>华夏卓越成长混合型证券投资基金</w:t>
      </w:r>
    </w:p>
    <w:bookmarkEnd w:id="0"/>
    <w:bookmarkEnd w:id="1"/>
    <w:bookmarkEnd w:id="2"/>
    <w:bookmarkEnd w:id="3"/>
    <w:bookmarkEnd w:id="4"/>
    <w:p w14:paraId="36DAAEBE" w14:textId="7140CA32" w:rsidR="00ED7E69" w:rsidRDefault="00083714">
      <w:pPr>
        <w:jc w:val="center"/>
        <w:rPr>
          <w:b/>
          <w:color w:val="000000"/>
          <w:sz w:val="36"/>
          <w:szCs w:val="36"/>
        </w:rPr>
      </w:pPr>
      <w:r>
        <w:rPr>
          <w:rFonts w:hint="eastAsia"/>
          <w:b/>
          <w:color w:val="000000"/>
          <w:sz w:val="36"/>
          <w:szCs w:val="36"/>
        </w:rPr>
        <w:t>托管协议</w:t>
      </w:r>
    </w:p>
    <w:p w14:paraId="7E6E81AA" w14:textId="77777777" w:rsidR="00ED7E69" w:rsidRDefault="00ED7E69">
      <w:pPr>
        <w:pStyle w:val="21"/>
        <w:rPr>
          <w:rFonts w:ascii="仿宋" w:eastAsia="仿宋" w:hAnsi="仿宋"/>
          <w:color w:val="000000"/>
          <w:sz w:val="44"/>
          <w:szCs w:val="44"/>
        </w:rPr>
      </w:pPr>
    </w:p>
    <w:p w14:paraId="7071645F" w14:textId="77777777" w:rsidR="00ED7E69" w:rsidRDefault="00ED7E69">
      <w:pPr>
        <w:pStyle w:val="21"/>
        <w:rPr>
          <w:rFonts w:ascii="仿宋" w:eastAsia="仿宋" w:hAnsi="仿宋"/>
          <w:color w:val="000000"/>
          <w:sz w:val="28"/>
          <w:szCs w:val="28"/>
        </w:rPr>
      </w:pPr>
    </w:p>
    <w:p w14:paraId="4924760A" w14:textId="77777777" w:rsidR="00ED7E69" w:rsidRDefault="00ED7E69">
      <w:pPr>
        <w:pStyle w:val="21"/>
        <w:rPr>
          <w:rFonts w:ascii="仿宋" w:eastAsia="仿宋" w:hAnsi="仿宋"/>
          <w:color w:val="000000"/>
          <w:sz w:val="28"/>
          <w:szCs w:val="28"/>
        </w:rPr>
      </w:pPr>
    </w:p>
    <w:p w14:paraId="16D13C45" w14:textId="77777777" w:rsidR="00ED7E69" w:rsidRDefault="00ED7E69">
      <w:pPr>
        <w:pStyle w:val="21"/>
        <w:rPr>
          <w:rFonts w:ascii="仿宋" w:eastAsia="仿宋" w:hAnsi="仿宋"/>
          <w:color w:val="000000"/>
          <w:sz w:val="28"/>
          <w:szCs w:val="28"/>
        </w:rPr>
      </w:pPr>
    </w:p>
    <w:p w14:paraId="7401E659" w14:textId="77777777" w:rsidR="00ED7E69" w:rsidRDefault="00ED7E69">
      <w:pPr>
        <w:pStyle w:val="21"/>
        <w:rPr>
          <w:rFonts w:ascii="仿宋" w:eastAsia="仿宋" w:hAnsi="仿宋"/>
          <w:color w:val="000000"/>
          <w:sz w:val="28"/>
          <w:szCs w:val="28"/>
        </w:rPr>
      </w:pPr>
    </w:p>
    <w:p w14:paraId="07EEE8E2" w14:textId="77777777" w:rsidR="00ED7E69" w:rsidRDefault="00ED7E69">
      <w:pPr>
        <w:rPr>
          <w:rFonts w:ascii="仿宋" w:eastAsia="仿宋" w:hAnsi="仿宋"/>
          <w:b/>
          <w:color w:val="000000"/>
          <w:sz w:val="44"/>
          <w:szCs w:val="44"/>
        </w:rPr>
      </w:pPr>
    </w:p>
    <w:p w14:paraId="7368E603" w14:textId="77777777" w:rsidR="00ED7E69" w:rsidRDefault="00ED7E69">
      <w:pPr>
        <w:rPr>
          <w:rFonts w:ascii="仿宋" w:eastAsia="仿宋" w:hAnsi="仿宋"/>
          <w:b/>
          <w:color w:val="000000"/>
          <w:szCs w:val="28"/>
        </w:rPr>
      </w:pPr>
    </w:p>
    <w:p w14:paraId="1A4CFEF9" w14:textId="77777777" w:rsidR="00ED7E69" w:rsidRDefault="00ED7E69">
      <w:pPr>
        <w:rPr>
          <w:rFonts w:ascii="仿宋" w:eastAsia="仿宋" w:hAnsi="仿宋"/>
          <w:b/>
          <w:bCs/>
          <w:color w:val="000000"/>
          <w:sz w:val="28"/>
          <w:szCs w:val="28"/>
        </w:rPr>
      </w:pPr>
    </w:p>
    <w:p w14:paraId="16DE4FEE" w14:textId="77777777" w:rsidR="00ED7E69" w:rsidRDefault="00ED7E69">
      <w:pPr>
        <w:rPr>
          <w:rFonts w:ascii="仿宋" w:eastAsia="仿宋" w:hAnsi="仿宋"/>
          <w:b/>
          <w:bCs/>
          <w:color w:val="000000"/>
          <w:sz w:val="28"/>
          <w:szCs w:val="28"/>
        </w:rPr>
      </w:pPr>
    </w:p>
    <w:p w14:paraId="69AD1D26" w14:textId="77777777" w:rsidR="00ED7E69" w:rsidRDefault="00ED7E69">
      <w:pPr>
        <w:rPr>
          <w:rFonts w:ascii="仿宋" w:eastAsia="仿宋" w:hAnsi="仿宋"/>
          <w:b/>
          <w:bCs/>
          <w:color w:val="000000"/>
          <w:sz w:val="28"/>
          <w:szCs w:val="28"/>
        </w:rPr>
      </w:pPr>
    </w:p>
    <w:p w14:paraId="314423C8" w14:textId="77777777" w:rsidR="00ED7E69" w:rsidRDefault="00ED7E69">
      <w:pPr>
        <w:rPr>
          <w:b/>
          <w:color w:val="000000"/>
          <w:sz w:val="32"/>
          <w:szCs w:val="32"/>
        </w:rPr>
      </w:pPr>
    </w:p>
    <w:p w14:paraId="1E1D757E" w14:textId="7590B187" w:rsidR="00ED7E69" w:rsidRDefault="00083714">
      <w:pPr>
        <w:ind w:firstLine="1446" w:firstLineChars="450"/>
        <w:rPr>
          <w:b/>
          <w:color w:val="000000"/>
          <w:sz w:val="32"/>
          <w:szCs w:val="32"/>
        </w:rPr>
      </w:pPr>
      <w:bookmarkStart w:id="5" w:name="_Toc139992301"/>
      <w:bookmarkStart w:id="6" w:name="_Toc123112263"/>
      <w:bookmarkStart w:id="7" w:name="_Toc123701383"/>
      <w:bookmarkStart w:id="8" w:name="_Toc123112224"/>
      <w:bookmarkStart w:id="9" w:name="_Toc139991726"/>
      <w:r>
        <w:rPr>
          <w:rFonts w:hint="eastAsia"/>
          <w:b/>
          <w:color w:val="000000"/>
          <w:sz w:val="32"/>
          <w:szCs w:val="32"/>
        </w:rPr>
        <w:t>基金</w:t>
      </w:r>
      <w:r>
        <w:rPr>
          <w:b/>
          <w:color w:val="000000"/>
          <w:sz w:val="32"/>
          <w:szCs w:val="32"/>
        </w:rPr>
        <w:t>管理人：</w:t>
      </w:r>
      <w:bookmarkEnd w:id="5"/>
      <w:bookmarkEnd w:id="6"/>
      <w:bookmarkEnd w:id="7"/>
      <w:bookmarkEnd w:id="8"/>
      <w:bookmarkEnd w:id="9"/>
      <w:r>
        <w:rPr>
          <w:rFonts w:hint="eastAsia"/>
          <w:b/>
          <w:color w:val="000000"/>
          <w:sz w:val="32"/>
          <w:szCs w:val="32"/>
        </w:rPr>
        <w:t>华夏基金管理有限公司</w:t>
      </w:r>
    </w:p>
    <w:p w14:paraId="6B312156" w14:textId="4AF791C3" w:rsidR="00ED7E69" w:rsidRDefault="00083714">
      <w:pPr>
        <w:ind w:firstLine="1446" w:firstLineChars="450"/>
        <w:rPr>
          <w:b/>
          <w:color w:val="000000"/>
          <w:sz w:val="32"/>
          <w:szCs w:val="32"/>
        </w:rPr>
      </w:pPr>
      <w:bookmarkStart w:id="10" w:name="_Toc139991727"/>
      <w:bookmarkStart w:id="11" w:name="_Toc123112225"/>
      <w:bookmarkStart w:id="12" w:name="_Toc123112264"/>
      <w:bookmarkStart w:id="13" w:name="_Toc123701384"/>
      <w:bookmarkStart w:id="14" w:name="_Toc139992302"/>
      <w:r>
        <w:rPr>
          <w:rFonts w:hint="eastAsia"/>
          <w:b/>
          <w:color w:val="000000"/>
          <w:sz w:val="32"/>
          <w:szCs w:val="32"/>
        </w:rPr>
        <w:t>基金</w:t>
      </w:r>
      <w:r>
        <w:rPr>
          <w:b/>
          <w:color w:val="000000"/>
          <w:sz w:val="32"/>
          <w:szCs w:val="32"/>
        </w:rPr>
        <w:t>托管人：</w:t>
      </w:r>
      <w:bookmarkEnd w:id="10"/>
      <w:bookmarkEnd w:id="11"/>
      <w:bookmarkEnd w:id="12"/>
      <w:bookmarkEnd w:id="13"/>
      <w:bookmarkEnd w:id="14"/>
      <w:r>
        <w:rPr>
          <w:rFonts w:hint="eastAsia"/>
          <w:b/>
          <w:color w:val="000000"/>
          <w:sz w:val="32"/>
          <w:szCs w:val="32"/>
        </w:rPr>
        <w:t>中信银行股份有限公司</w:t>
      </w:r>
      <w:r>
        <w:rPr>
          <w:b/>
          <w:color w:val="000000"/>
          <w:sz w:val="32"/>
          <w:szCs w:val="32"/>
        </w:rPr>
        <w:t xml:space="preserve">           </w:t>
      </w:r>
    </w:p>
    <w:p w14:paraId="56D8D3C8" w14:textId="77777777" w:rsidR="00ED7E69" w:rsidRDefault="00ED7E69">
      <w:pPr>
        <w:jc w:val="center"/>
        <w:rPr>
          <w:bCs/>
          <w:color w:val="000000"/>
          <w:sz w:val="32"/>
        </w:rPr>
      </w:pPr>
    </w:p>
    <w:p w14:paraId="57417D17" w14:textId="77777777" w:rsidR="00ED7E69" w:rsidRDefault="00ED7E69">
      <w:pPr>
        <w:jc w:val="center"/>
        <w:rPr>
          <w:bCs/>
          <w:color w:val="000000"/>
          <w:sz w:val="28"/>
        </w:rPr>
      </w:pPr>
    </w:p>
    <w:p w14:paraId="0668C89B" w14:textId="77777777" w:rsidR="00ED7E69" w:rsidRDefault="00ED7E69">
      <w:pPr>
        <w:rPr>
          <w:rFonts w:ascii="仿宋" w:eastAsia="仿宋" w:hAnsi="仿宋"/>
          <w:b/>
          <w:bCs/>
          <w:color w:val="000000"/>
          <w:sz w:val="28"/>
          <w:szCs w:val="28"/>
        </w:rPr>
      </w:pPr>
    </w:p>
    <w:p w14:paraId="7CE48F56" w14:textId="2CD195CF" w:rsidR="00ED7E69" w:rsidRDefault="00ED7E69">
      <w:pPr>
        <w:rPr>
          <w:rFonts w:ascii="仿宋" w:eastAsia="仿宋" w:hAnsi="仿宋"/>
          <w:b/>
          <w:bCs/>
          <w:color w:val="000000"/>
          <w:sz w:val="28"/>
          <w:szCs w:val="28"/>
        </w:rPr>
      </w:pPr>
    </w:p>
    <w:p w14:paraId="675BDCD0" w14:textId="77777777" w:rsidP="00606BD2" w:rsidR="00ED7E69" w:rsidRDefault="00083714">
      <w:pPr>
        <w:jc w:val="center"/>
        <w:rPr>
          <w:rFonts w:ascii="仿宋" w:eastAsia="仿宋" w:hAnsi="仿宋"/>
          <w:color w:val="000000"/>
          <w:sz w:val="28"/>
          <w:szCs w:val="28"/>
        </w:rPr>
      </w:pPr>
      <w:r>
        <w:rPr>
          <w:rFonts w:ascii="仿宋" w:eastAsia="仿宋" w:hAnsi="仿宋"/>
          <w:color w:val="000000"/>
          <w:sz w:val="28"/>
          <w:szCs w:val="28"/>
        </w:rPr>
        <w:br w:type="page"/>
      </w:r>
      <w:bookmarkStart w:id="15" w:name="_GoBack"/>
      <w:bookmarkEnd w:id="15"/>
      <w:r>
        <w:rPr>
          <w:rFonts w:ascii="仿宋" w:eastAsia="仿宋" w:hAnsi="仿宋" w:hint="eastAsia"/>
          <w:color w:val="000000"/>
          <w:sz w:val="28"/>
          <w:szCs w:val="28"/>
        </w:rPr>
        <w:lastRenderedPageBreak/>
        <w:t>目录</w:t>
      </w:r>
    </w:p>
    <w:p w14:paraId="4A32FA18" w14:textId="77777777" w:rsidR="00ED7E69" w:rsidRDefault="00ED7E69">
      <w:pPr>
        <w:rPr>
          <w:rFonts w:ascii="仿宋" w:eastAsia="仿宋" w:hAnsi="仿宋"/>
          <w:color w:val="000000"/>
          <w:sz w:val="28"/>
          <w:szCs w:val="28"/>
        </w:rPr>
      </w:pPr>
    </w:p>
    <w:p w14:paraId="3897CEAE" w14:textId="062C2C37" w:rsidR="007F0378" w:rsidRDefault="00083714">
      <w:pPr>
        <w:pStyle w:val="11"/>
        <w:rPr>
          <w:rFonts w:asciiTheme="minorHAnsi" w:cstheme="minorBidi" w:eastAsiaTheme="minorEastAsia" w:hAnsiTheme="minorHAnsi"/>
          <w:noProof/>
          <w:sz w:val="21"/>
          <w:szCs w:val="22"/>
        </w:rPr>
      </w:pPr>
      <w:r>
        <w:rPr>
          <w:rFonts w:ascii="仿宋" w:eastAsia="仿宋" w:hAnsi="仿宋"/>
          <w:color w:val="000000"/>
          <w:sz w:val="28"/>
          <w:szCs w:val="28"/>
        </w:rPr>
        <w:fldChar w:fldCharType="begin"/>
      </w:r>
      <w:r>
        <w:rPr>
          <w:rFonts w:ascii="仿宋" w:eastAsia="仿宋" w:hAnsi="仿宋"/>
          <w:color w:val="000000"/>
          <w:sz w:val="28"/>
          <w:szCs w:val="28"/>
        </w:rPr>
        <w:instrText xml:space="preserve"> </w:instrText>
      </w:r>
      <w:r>
        <w:rPr>
          <w:rFonts w:ascii="仿宋" w:eastAsia="仿宋" w:hAnsi="仿宋" w:hint="eastAsia"/>
          <w:color w:val="000000"/>
          <w:sz w:val="28"/>
          <w:szCs w:val="28"/>
        </w:rPr>
        <w:instrText>TOC \o "1-1" \h \z \u</w:instrText>
      </w:r>
      <w:r>
        <w:rPr>
          <w:rFonts w:ascii="仿宋" w:eastAsia="仿宋" w:hAnsi="仿宋"/>
          <w:color w:val="000000"/>
          <w:sz w:val="28"/>
          <w:szCs w:val="28"/>
        </w:rPr>
        <w:instrText xml:space="preserve"> </w:instrText>
      </w:r>
      <w:r>
        <w:rPr>
          <w:rFonts w:ascii="仿宋" w:eastAsia="仿宋" w:hAnsi="仿宋"/>
          <w:color w:val="000000"/>
          <w:sz w:val="28"/>
          <w:szCs w:val="28"/>
        </w:rPr>
        <w:fldChar w:fldCharType="separate"/>
      </w:r>
      <w:hyperlink w:anchor="_Toc187930221" w:history="1">
        <w:r w:rsidR="007F0378" w:rsidRPr="00787794">
          <w:rPr>
            <w:rStyle w:val="af3"/>
            <w:rFonts w:ascii="仿宋" w:eastAsia="仿宋" w:hAnsi="仿宋"/>
            <w:bCs/>
            <w:noProof/>
          </w:rPr>
          <w:t>第一条 基金托管协议当事人</w:t>
        </w:r>
        <w:r w:rsidR="007F0378">
          <w:rPr>
            <w:noProof/>
            <w:webHidden/>
          </w:rPr>
          <w:tab/>
        </w:r>
        <w:r w:rsidR="007F0378">
          <w:rPr>
            <w:noProof/>
            <w:webHidden/>
          </w:rPr>
          <w:fldChar w:fldCharType="begin"/>
        </w:r>
        <w:r w:rsidR="007F0378">
          <w:rPr>
            <w:noProof/>
            <w:webHidden/>
          </w:rPr>
          <w:instrText xml:space="preserve"> PAGEREF _Toc187930221 \h </w:instrText>
        </w:r>
        <w:r w:rsidR="007F0378">
          <w:rPr>
            <w:noProof/>
            <w:webHidden/>
          </w:rPr>
        </w:r>
        <w:r w:rsidR="007F0378">
          <w:rPr>
            <w:noProof/>
            <w:webHidden/>
          </w:rPr>
          <w:fldChar w:fldCharType="separate"/>
        </w:r>
        <w:r w:rsidR="007F0378">
          <w:rPr>
            <w:noProof/>
            <w:webHidden/>
          </w:rPr>
          <w:t>5</w:t>
        </w:r>
        <w:r w:rsidR="007F0378">
          <w:rPr>
            <w:noProof/>
            <w:webHidden/>
          </w:rPr>
          <w:fldChar w:fldCharType="end"/>
        </w:r>
      </w:hyperlink>
    </w:p>
    <w:p w14:paraId="32E0B590" w14:textId="580EE323" w:rsidR="007F0378" w:rsidRDefault="00884544">
      <w:pPr>
        <w:pStyle w:val="11"/>
        <w:rPr>
          <w:rFonts w:asciiTheme="minorHAnsi" w:cstheme="minorBidi" w:eastAsiaTheme="minorEastAsia" w:hAnsiTheme="minorHAnsi"/>
          <w:noProof/>
          <w:sz w:val="21"/>
          <w:szCs w:val="22"/>
        </w:rPr>
      </w:pPr>
      <w:hyperlink w:anchor="_Toc187930222" w:history="1">
        <w:r w:rsidR="007F0378" w:rsidRPr="00787794">
          <w:rPr>
            <w:rStyle w:val="af3"/>
            <w:rFonts w:ascii="仿宋" w:eastAsia="仿宋" w:hAnsi="仿宋"/>
            <w:bCs/>
            <w:noProof/>
          </w:rPr>
          <w:t>第二条 基金托管协议的依据、目的和原则</w:t>
        </w:r>
        <w:r w:rsidR="007F0378">
          <w:rPr>
            <w:noProof/>
            <w:webHidden/>
          </w:rPr>
          <w:tab/>
        </w:r>
        <w:r w:rsidR="007F0378">
          <w:rPr>
            <w:noProof/>
            <w:webHidden/>
          </w:rPr>
          <w:fldChar w:fldCharType="begin"/>
        </w:r>
        <w:r w:rsidR="007F0378">
          <w:rPr>
            <w:noProof/>
            <w:webHidden/>
          </w:rPr>
          <w:instrText xml:space="preserve"> PAGEREF _Toc187930222 \h </w:instrText>
        </w:r>
        <w:r w:rsidR="007F0378">
          <w:rPr>
            <w:noProof/>
            <w:webHidden/>
          </w:rPr>
        </w:r>
        <w:r w:rsidR="007F0378">
          <w:rPr>
            <w:noProof/>
            <w:webHidden/>
          </w:rPr>
          <w:fldChar w:fldCharType="separate"/>
        </w:r>
        <w:r w:rsidR="007F0378">
          <w:rPr>
            <w:noProof/>
            <w:webHidden/>
          </w:rPr>
          <w:t>6</w:t>
        </w:r>
        <w:r w:rsidR="007F0378">
          <w:rPr>
            <w:noProof/>
            <w:webHidden/>
          </w:rPr>
          <w:fldChar w:fldCharType="end"/>
        </w:r>
      </w:hyperlink>
    </w:p>
    <w:p w14:paraId="71A232AC" w14:textId="22632008" w:rsidR="007F0378" w:rsidRDefault="00884544">
      <w:pPr>
        <w:pStyle w:val="11"/>
        <w:rPr>
          <w:rFonts w:asciiTheme="minorHAnsi" w:cstheme="minorBidi" w:eastAsiaTheme="minorEastAsia" w:hAnsiTheme="minorHAnsi"/>
          <w:noProof/>
          <w:sz w:val="21"/>
          <w:szCs w:val="22"/>
        </w:rPr>
      </w:pPr>
      <w:hyperlink w:anchor="_Toc187930223" w:history="1">
        <w:r w:rsidR="007F0378" w:rsidRPr="00787794">
          <w:rPr>
            <w:rStyle w:val="af3"/>
            <w:rFonts w:ascii="仿宋" w:eastAsia="仿宋" w:hAnsi="仿宋"/>
            <w:bCs/>
            <w:noProof/>
          </w:rPr>
          <w:t>第三条 基金托管人对基金管理人的业务监督和核查</w:t>
        </w:r>
        <w:r w:rsidR="007F0378">
          <w:rPr>
            <w:noProof/>
            <w:webHidden/>
          </w:rPr>
          <w:tab/>
        </w:r>
        <w:r w:rsidR="007F0378">
          <w:rPr>
            <w:noProof/>
            <w:webHidden/>
          </w:rPr>
          <w:fldChar w:fldCharType="begin"/>
        </w:r>
        <w:r w:rsidR="007F0378">
          <w:rPr>
            <w:noProof/>
            <w:webHidden/>
          </w:rPr>
          <w:instrText xml:space="preserve"> PAGEREF _Toc187930223 \h </w:instrText>
        </w:r>
        <w:r w:rsidR="007F0378">
          <w:rPr>
            <w:noProof/>
            <w:webHidden/>
          </w:rPr>
        </w:r>
        <w:r w:rsidR="007F0378">
          <w:rPr>
            <w:noProof/>
            <w:webHidden/>
          </w:rPr>
          <w:fldChar w:fldCharType="separate"/>
        </w:r>
        <w:r w:rsidR="007F0378">
          <w:rPr>
            <w:noProof/>
            <w:webHidden/>
          </w:rPr>
          <w:t>7</w:t>
        </w:r>
        <w:r w:rsidR="007F0378">
          <w:rPr>
            <w:noProof/>
            <w:webHidden/>
          </w:rPr>
          <w:fldChar w:fldCharType="end"/>
        </w:r>
      </w:hyperlink>
    </w:p>
    <w:p w14:paraId="767ED6C2" w14:textId="0F301EB9" w:rsidR="007F0378" w:rsidRDefault="00884544">
      <w:pPr>
        <w:pStyle w:val="11"/>
        <w:rPr>
          <w:rFonts w:asciiTheme="minorHAnsi" w:cstheme="minorBidi" w:eastAsiaTheme="minorEastAsia" w:hAnsiTheme="minorHAnsi"/>
          <w:noProof/>
          <w:sz w:val="21"/>
          <w:szCs w:val="22"/>
        </w:rPr>
      </w:pPr>
      <w:hyperlink w:anchor="_Toc187930224" w:history="1">
        <w:r w:rsidR="007F0378" w:rsidRPr="00787794">
          <w:rPr>
            <w:rStyle w:val="af3"/>
            <w:rFonts w:ascii="仿宋" w:eastAsia="仿宋" w:hAnsi="仿宋"/>
            <w:bCs/>
            <w:noProof/>
          </w:rPr>
          <w:t>第四条 基金管理人对基金托管人的业务核查</w:t>
        </w:r>
        <w:r w:rsidR="007F0378">
          <w:rPr>
            <w:noProof/>
            <w:webHidden/>
          </w:rPr>
          <w:tab/>
        </w:r>
        <w:r w:rsidR="007F0378">
          <w:rPr>
            <w:noProof/>
            <w:webHidden/>
          </w:rPr>
          <w:fldChar w:fldCharType="begin"/>
        </w:r>
        <w:r w:rsidR="007F0378">
          <w:rPr>
            <w:noProof/>
            <w:webHidden/>
          </w:rPr>
          <w:instrText xml:space="preserve"> PAGEREF _Toc187930224 \h </w:instrText>
        </w:r>
        <w:r w:rsidR="007F0378">
          <w:rPr>
            <w:noProof/>
            <w:webHidden/>
          </w:rPr>
        </w:r>
        <w:r w:rsidR="007F0378">
          <w:rPr>
            <w:noProof/>
            <w:webHidden/>
          </w:rPr>
          <w:fldChar w:fldCharType="separate"/>
        </w:r>
        <w:r w:rsidR="007F0378">
          <w:rPr>
            <w:noProof/>
            <w:webHidden/>
          </w:rPr>
          <w:t>14</w:t>
        </w:r>
        <w:r w:rsidR="007F0378">
          <w:rPr>
            <w:noProof/>
            <w:webHidden/>
          </w:rPr>
          <w:fldChar w:fldCharType="end"/>
        </w:r>
      </w:hyperlink>
    </w:p>
    <w:p w14:paraId="7B01CE6E" w14:textId="4F2A8578" w:rsidR="007F0378" w:rsidRDefault="00884544">
      <w:pPr>
        <w:pStyle w:val="11"/>
        <w:rPr>
          <w:rFonts w:asciiTheme="minorHAnsi" w:cstheme="minorBidi" w:eastAsiaTheme="minorEastAsia" w:hAnsiTheme="minorHAnsi"/>
          <w:noProof/>
          <w:sz w:val="21"/>
          <w:szCs w:val="22"/>
        </w:rPr>
      </w:pPr>
      <w:hyperlink w:anchor="_Toc187930225" w:history="1">
        <w:r w:rsidR="007F0378" w:rsidRPr="00787794">
          <w:rPr>
            <w:rStyle w:val="af3"/>
            <w:rFonts w:ascii="仿宋" w:eastAsia="仿宋" w:hAnsi="仿宋"/>
            <w:bCs/>
            <w:noProof/>
          </w:rPr>
          <w:t>第五条 基金财产保管</w:t>
        </w:r>
        <w:r w:rsidR="007F0378">
          <w:rPr>
            <w:noProof/>
            <w:webHidden/>
          </w:rPr>
          <w:tab/>
        </w:r>
        <w:r w:rsidR="007F0378">
          <w:rPr>
            <w:noProof/>
            <w:webHidden/>
          </w:rPr>
          <w:fldChar w:fldCharType="begin"/>
        </w:r>
        <w:r w:rsidR="007F0378">
          <w:rPr>
            <w:noProof/>
            <w:webHidden/>
          </w:rPr>
          <w:instrText xml:space="preserve"> PAGEREF _Toc187930225 \h </w:instrText>
        </w:r>
        <w:r w:rsidR="007F0378">
          <w:rPr>
            <w:noProof/>
            <w:webHidden/>
          </w:rPr>
        </w:r>
        <w:r w:rsidR="007F0378">
          <w:rPr>
            <w:noProof/>
            <w:webHidden/>
          </w:rPr>
          <w:fldChar w:fldCharType="separate"/>
        </w:r>
        <w:r w:rsidR="007F0378">
          <w:rPr>
            <w:noProof/>
            <w:webHidden/>
          </w:rPr>
          <w:t>15</w:t>
        </w:r>
        <w:r w:rsidR="007F0378">
          <w:rPr>
            <w:noProof/>
            <w:webHidden/>
          </w:rPr>
          <w:fldChar w:fldCharType="end"/>
        </w:r>
      </w:hyperlink>
    </w:p>
    <w:p w14:paraId="0F5938D7" w14:textId="4FD5C9C1" w:rsidR="007F0378" w:rsidRDefault="00884544">
      <w:pPr>
        <w:pStyle w:val="11"/>
        <w:rPr>
          <w:rFonts w:asciiTheme="minorHAnsi" w:cstheme="minorBidi" w:eastAsiaTheme="minorEastAsia" w:hAnsiTheme="minorHAnsi"/>
          <w:noProof/>
          <w:sz w:val="21"/>
          <w:szCs w:val="22"/>
        </w:rPr>
      </w:pPr>
      <w:hyperlink w:anchor="_Toc187930226" w:history="1">
        <w:r w:rsidR="007F0378" w:rsidRPr="00787794">
          <w:rPr>
            <w:rStyle w:val="af3"/>
            <w:rFonts w:ascii="仿宋" w:eastAsia="仿宋" w:hAnsi="仿宋"/>
            <w:bCs/>
            <w:noProof/>
          </w:rPr>
          <w:t>第六条 指令的发送、确认和执行</w:t>
        </w:r>
        <w:r w:rsidR="007F0378">
          <w:rPr>
            <w:noProof/>
            <w:webHidden/>
          </w:rPr>
          <w:tab/>
        </w:r>
        <w:r w:rsidR="007F0378">
          <w:rPr>
            <w:noProof/>
            <w:webHidden/>
          </w:rPr>
          <w:fldChar w:fldCharType="begin"/>
        </w:r>
        <w:r w:rsidR="007F0378">
          <w:rPr>
            <w:noProof/>
            <w:webHidden/>
          </w:rPr>
          <w:instrText xml:space="preserve"> PAGEREF _Toc187930226 \h </w:instrText>
        </w:r>
        <w:r w:rsidR="007F0378">
          <w:rPr>
            <w:noProof/>
            <w:webHidden/>
          </w:rPr>
        </w:r>
        <w:r w:rsidR="007F0378">
          <w:rPr>
            <w:noProof/>
            <w:webHidden/>
          </w:rPr>
          <w:fldChar w:fldCharType="separate"/>
        </w:r>
        <w:r w:rsidR="007F0378">
          <w:rPr>
            <w:noProof/>
            <w:webHidden/>
          </w:rPr>
          <w:t>16</w:t>
        </w:r>
        <w:r w:rsidR="007F0378">
          <w:rPr>
            <w:noProof/>
            <w:webHidden/>
          </w:rPr>
          <w:fldChar w:fldCharType="end"/>
        </w:r>
      </w:hyperlink>
    </w:p>
    <w:p w14:paraId="6CE652B7" w14:textId="2A59E79B" w:rsidR="007F0378" w:rsidRDefault="00884544">
      <w:pPr>
        <w:pStyle w:val="11"/>
        <w:rPr>
          <w:rFonts w:asciiTheme="minorHAnsi" w:cstheme="minorBidi" w:eastAsiaTheme="minorEastAsia" w:hAnsiTheme="minorHAnsi"/>
          <w:noProof/>
          <w:sz w:val="21"/>
          <w:szCs w:val="22"/>
        </w:rPr>
      </w:pPr>
      <w:hyperlink w:anchor="_Toc187930227" w:history="1">
        <w:r w:rsidR="007F0378" w:rsidRPr="00787794">
          <w:rPr>
            <w:rStyle w:val="af3"/>
            <w:rFonts w:ascii="仿宋" w:eastAsia="仿宋" w:hAnsi="仿宋"/>
            <w:bCs/>
            <w:noProof/>
          </w:rPr>
          <w:t>第七条 交易及清算交收安排</w:t>
        </w:r>
        <w:r w:rsidR="007F0378">
          <w:rPr>
            <w:noProof/>
            <w:webHidden/>
          </w:rPr>
          <w:tab/>
        </w:r>
        <w:r w:rsidR="007F0378">
          <w:rPr>
            <w:noProof/>
            <w:webHidden/>
          </w:rPr>
          <w:fldChar w:fldCharType="begin"/>
        </w:r>
        <w:r w:rsidR="007F0378">
          <w:rPr>
            <w:noProof/>
            <w:webHidden/>
          </w:rPr>
          <w:instrText xml:space="preserve"> PAGEREF _Toc187930227 \h </w:instrText>
        </w:r>
        <w:r w:rsidR="007F0378">
          <w:rPr>
            <w:noProof/>
            <w:webHidden/>
          </w:rPr>
        </w:r>
        <w:r w:rsidR="007F0378">
          <w:rPr>
            <w:noProof/>
            <w:webHidden/>
          </w:rPr>
          <w:fldChar w:fldCharType="separate"/>
        </w:r>
        <w:r w:rsidR="007F0378">
          <w:rPr>
            <w:noProof/>
            <w:webHidden/>
          </w:rPr>
          <w:t>19</w:t>
        </w:r>
        <w:r w:rsidR="007F0378">
          <w:rPr>
            <w:noProof/>
            <w:webHidden/>
          </w:rPr>
          <w:fldChar w:fldCharType="end"/>
        </w:r>
      </w:hyperlink>
    </w:p>
    <w:p w14:paraId="5B0022AD" w14:textId="46565F61" w:rsidR="007F0378" w:rsidRDefault="00884544">
      <w:pPr>
        <w:pStyle w:val="11"/>
        <w:rPr>
          <w:rFonts w:asciiTheme="minorHAnsi" w:cstheme="minorBidi" w:eastAsiaTheme="minorEastAsia" w:hAnsiTheme="minorHAnsi"/>
          <w:noProof/>
          <w:sz w:val="21"/>
          <w:szCs w:val="22"/>
        </w:rPr>
      </w:pPr>
      <w:hyperlink w:anchor="_Toc187930228" w:history="1">
        <w:r w:rsidR="007F0378" w:rsidRPr="00787794">
          <w:rPr>
            <w:rStyle w:val="af3"/>
            <w:rFonts w:ascii="仿宋" w:eastAsia="仿宋" w:hAnsi="仿宋"/>
            <w:bCs/>
            <w:noProof/>
          </w:rPr>
          <w:t>第八条 基金资产净值计算和会计核算</w:t>
        </w:r>
        <w:r w:rsidR="007F0378">
          <w:rPr>
            <w:noProof/>
            <w:webHidden/>
          </w:rPr>
          <w:tab/>
        </w:r>
        <w:r w:rsidR="007F0378">
          <w:rPr>
            <w:noProof/>
            <w:webHidden/>
          </w:rPr>
          <w:fldChar w:fldCharType="begin"/>
        </w:r>
        <w:r w:rsidR="007F0378">
          <w:rPr>
            <w:noProof/>
            <w:webHidden/>
          </w:rPr>
          <w:instrText xml:space="preserve"> PAGEREF _Toc187930228 \h </w:instrText>
        </w:r>
        <w:r w:rsidR="007F0378">
          <w:rPr>
            <w:noProof/>
            <w:webHidden/>
          </w:rPr>
        </w:r>
        <w:r w:rsidR="007F0378">
          <w:rPr>
            <w:noProof/>
            <w:webHidden/>
          </w:rPr>
          <w:fldChar w:fldCharType="separate"/>
        </w:r>
        <w:r w:rsidR="007F0378">
          <w:rPr>
            <w:noProof/>
            <w:webHidden/>
          </w:rPr>
          <w:t>21</w:t>
        </w:r>
        <w:r w:rsidR="007F0378">
          <w:rPr>
            <w:noProof/>
            <w:webHidden/>
          </w:rPr>
          <w:fldChar w:fldCharType="end"/>
        </w:r>
      </w:hyperlink>
    </w:p>
    <w:p w14:paraId="2F3F2BC7" w14:textId="651E0E20" w:rsidR="007F0378" w:rsidRDefault="00884544">
      <w:pPr>
        <w:pStyle w:val="11"/>
        <w:rPr>
          <w:rFonts w:asciiTheme="minorHAnsi" w:cstheme="minorBidi" w:eastAsiaTheme="minorEastAsia" w:hAnsiTheme="minorHAnsi"/>
          <w:noProof/>
          <w:sz w:val="21"/>
          <w:szCs w:val="22"/>
        </w:rPr>
      </w:pPr>
      <w:hyperlink w:anchor="_Toc187930229" w:history="1">
        <w:r w:rsidR="007F0378" w:rsidRPr="00787794">
          <w:rPr>
            <w:rStyle w:val="af3"/>
            <w:rFonts w:ascii="仿宋" w:eastAsia="仿宋" w:hAnsi="仿宋"/>
            <w:bCs/>
            <w:noProof/>
          </w:rPr>
          <w:t>第九条 基金收益分配</w:t>
        </w:r>
        <w:r w:rsidR="007F0378">
          <w:rPr>
            <w:noProof/>
            <w:webHidden/>
          </w:rPr>
          <w:tab/>
        </w:r>
        <w:r w:rsidR="007F0378">
          <w:rPr>
            <w:noProof/>
            <w:webHidden/>
          </w:rPr>
          <w:fldChar w:fldCharType="begin"/>
        </w:r>
        <w:r w:rsidR="007F0378">
          <w:rPr>
            <w:noProof/>
            <w:webHidden/>
          </w:rPr>
          <w:instrText xml:space="preserve"> PAGEREF _Toc187930229 \h </w:instrText>
        </w:r>
        <w:r w:rsidR="007F0378">
          <w:rPr>
            <w:noProof/>
            <w:webHidden/>
          </w:rPr>
        </w:r>
        <w:r w:rsidR="007F0378">
          <w:rPr>
            <w:noProof/>
            <w:webHidden/>
          </w:rPr>
          <w:fldChar w:fldCharType="separate"/>
        </w:r>
        <w:r w:rsidR="007F0378">
          <w:rPr>
            <w:noProof/>
            <w:webHidden/>
          </w:rPr>
          <w:t>26</w:t>
        </w:r>
        <w:r w:rsidR="007F0378">
          <w:rPr>
            <w:noProof/>
            <w:webHidden/>
          </w:rPr>
          <w:fldChar w:fldCharType="end"/>
        </w:r>
      </w:hyperlink>
    </w:p>
    <w:p w14:paraId="257F3E79" w14:textId="1617145A" w:rsidR="007F0378" w:rsidRDefault="00884544">
      <w:pPr>
        <w:pStyle w:val="11"/>
        <w:rPr>
          <w:rFonts w:asciiTheme="minorHAnsi" w:cstheme="minorBidi" w:eastAsiaTheme="minorEastAsia" w:hAnsiTheme="minorHAnsi"/>
          <w:noProof/>
          <w:sz w:val="21"/>
          <w:szCs w:val="22"/>
        </w:rPr>
      </w:pPr>
      <w:hyperlink w:anchor="_Toc187930230" w:history="1">
        <w:r w:rsidR="007F0378" w:rsidRPr="00787794">
          <w:rPr>
            <w:rStyle w:val="af3"/>
            <w:rFonts w:ascii="仿宋" w:eastAsia="仿宋" w:hAnsi="仿宋"/>
            <w:bCs/>
            <w:noProof/>
          </w:rPr>
          <w:t>第十条 信息披露</w:t>
        </w:r>
        <w:r w:rsidR="007F0378">
          <w:rPr>
            <w:noProof/>
            <w:webHidden/>
          </w:rPr>
          <w:tab/>
        </w:r>
        <w:r w:rsidR="007F0378">
          <w:rPr>
            <w:noProof/>
            <w:webHidden/>
          </w:rPr>
          <w:fldChar w:fldCharType="begin"/>
        </w:r>
        <w:r w:rsidR="007F0378">
          <w:rPr>
            <w:noProof/>
            <w:webHidden/>
          </w:rPr>
          <w:instrText xml:space="preserve"> PAGEREF _Toc187930230 \h </w:instrText>
        </w:r>
        <w:r w:rsidR="007F0378">
          <w:rPr>
            <w:noProof/>
            <w:webHidden/>
          </w:rPr>
        </w:r>
        <w:r w:rsidR="007F0378">
          <w:rPr>
            <w:noProof/>
            <w:webHidden/>
          </w:rPr>
          <w:fldChar w:fldCharType="separate"/>
        </w:r>
        <w:r w:rsidR="007F0378">
          <w:rPr>
            <w:noProof/>
            <w:webHidden/>
          </w:rPr>
          <w:t>28</w:t>
        </w:r>
        <w:r w:rsidR="007F0378">
          <w:rPr>
            <w:noProof/>
            <w:webHidden/>
          </w:rPr>
          <w:fldChar w:fldCharType="end"/>
        </w:r>
      </w:hyperlink>
    </w:p>
    <w:p w14:paraId="1D8C5EE2" w14:textId="289E9F5C" w:rsidR="007F0378" w:rsidRDefault="00884544">
      <w:pPr>
        <w:pStyle w:val="11"/>
        <w:rPr>
          <w:rFonts w:asciiTheme="minorHAnsi" w:cstheme="minorBidi" w:eastAsiaTheme="minorEastAsia" w:hAnsiTheme="minorHAnsi"/>
          <w:noProof/>
          <w:sz w:val="21"/>
          <w:szCs w:val="22"/>
        </w:rPr>
      </w:pPr>
      <w:hyperlink w:anchor="_Toc187930231" w:history="1">
        <w:r w:rsidR="007F0378" w:rsidRPr="00787794">
          <w:rPr>
            <w:rStyle w:val="af3"/>
            <w:rFonts w:ascii="仿宋" w:eastAsia="仿宋" w:hAnsi="仿宋"/>
            <w:bCs/>
            <w:noProof/>
          </w:rPr>
          <w:t>第十一条 基金费用</w:t>
        </w:r>
        <w:r w:rsidR="007F0378">
          <w:rPr>
            <w:noProof/>
            <w:webHidden/>
          </w:rPr>
          <w:tab/>
        </w:r>
        <w:r w:rsidR="007F0378">
          <w:rPr>
            <w:noProof/>
            <w:webHidden/>
          </w:rPr>
          <w:fldChar w:fldCharType="begin"/>
        </w:r>
        <w:r w:rsidR="007F0378">
          <w:rPr>
            <w:noProof/>
            <w:webHidden/>
          </w:rPr>
          <w:instrText xml:space="preserve"> PAGEREF _Toc187930231 \h </w:instrText>
        </w:r>
        <w:r w:rsidR="007F0378">
          <w:rPr>
            <w:noProof/>
            <w:webHidden/>
          </w:rPr>
        </w:r>
        <w:r w:rsidR="007F0378">
          <w:rPr>
            <w:noProof/>
            <w:webHidden/>
          </w:rPr>
          <w:fldChar w:fldCharType="separate"/>
        </w:r>
        <w:r w:rsidR="007F0378">
          <w:rPr>
            <w:noProof/>
            <w:webHidden/>
          </w:rPr>
          <w:t>30</w:t>
        </w:r>
        <w:r w:rsidR="007F0378">
          <w:rPr>
            <w:noProof/>
            <w:webHidden/>
          </w:rPr>
          <w:fldChar w:fldCharType="end"/>
        </w:r>
      </w:hyperlink>
    </w:p>
    <w:p w14:paraId="2D20BD0C" w14:textId="0632090E" w:rsidR="007F0378" w:rsidRDefault="00884544">
      <w:pPr>
        <w:pStyle w:val="11"/>
        <w:rPr>
          <w:rFonts w:asciiTheme="minorHAnsi" w:cstheme="minorBidi" w:eastAsiaTheme="minorEastAsia" w:hAnsiTheme="minorHAnsi"/>
          <w:noProof/>
          <w:sz w:val="21"/>
          <w:szCs w:val="22"/>
        </w:rPr>
      </w:pPr>
      <w:hyperlink w:anchor="_Toc187930232" w:history="1">
        <w:r w:rsidR="007F0378" w:rsidRPr="00787794">
          <w:rPr>
            <w:rStyle w:val="af3"/>
            <w:rFonts w:ascii="仿宋" w:eastAsia="仿宋" w:hAnsi="仿宋"/>
            <w:bCs/>
            <w:noProof/>
          </w:rPr>
          <w:t>第十二条 基金份额持有人名册的保管</w:t>
        </w:r>
        <w:r w:rsidR="007F0378">
          <w:rPr>
            <w:noProof/>
            <w:webHidden/>
          </w:rPr>
          <w:tab/>
        </w:r>
        <w:r w:rsidR="007F0378">
          <w:rPr>
            <w:noProof/>
            <w:webHidden/>
          </w:rPr>
          <w:fldChar w:fldCharType="begin"/>
        </w:r>
        <w:r w:rsidR="007F0378">
          <w:rPr>
            <w:noProof/>
            <w:webHidden/>
          </w:rPr>
          <w:instrText xml:space="preserve"> PAGEREF _Toc187930232 \h </w:instrText>
        </w:r>
        <w:r w:rsidR="007F0378">
          <w:rPr>
            <w:noProof/>
            <w:webHidden/>
          </w:rPr>
        </w:r>
        <w:r w:rsidR="007F0378">
          <w:rPr>
            <w:noProof/>
            <w:webHidden/>
          </w:rPr>
          <w:fldChar w:fldCharType="separate"/>
        </w:r>
        <w:r w:rsidR="007F0378">
          <w:rPr>
            <w:noProof/>
            <w:webHidden/>
          </w:rPr>
          <w:t>34</w:t>
        </w:r>
        <w:r w:rsidR="007F0378">
          <w:rPr>
            <w:noProof/>
            <w:webHidden/>
          </w:rPr>
          <w:fldChar w:fldCharType="end"/>
        </w:r>
      </w:hyperlink>
    </w:p>
    <w:p w14:paraId="5C0150FF" w14:textId="2565623F" w:rsidR="007F0378" w:rsidRDefault="00884544">
      <w:pPr>
        <w:pStyle w:val="11"/>
        <w:rPr>
          <w:rFonts w:asciiTheme="minorHAnsi" w:cstheme="minorBidi" w:eastAsiaTheme="minorEastAsia" w:hAnsiTheme="minorHAnsi"/>
          <w:noProof/>
          <w:sz w:val="21"/>
          <w:szCs w:val="22"/>
        </w:rPr>
      </w:pPr>
      <w:hyperlink w:anchor="_Toc187930233" w:history="1">
        <w:r w:rsidR="007F0378" w:rsidRPr="00787794">
          <w:rPr>
            <w:rStyle w:val="af3"/>
            <w:rFonts w:ascii="仿宋" w:eastAsia="仿宋" w:hAnsi="仿宋"/>
            <w:bCs/>
            <w:noProof/>
          </w:rPr>
          <w:t>第十三条 基金有关文件和档案的保存</w:t>
        </w:r>
        <w:r w:rsidR="007F0378">
          <w:rPr>
            <w:noProof/>
            <w:webHidden/>
          </w:rPr>
          <w:tab/>
        </w:r>
        <w:r w:rsidR="007F0378">
          <w:rPr>
            <w:noProof/>
            <w:webHidden/>
          </w:rPr>
          <w:fldChar w:fldCharType="begin"/>
        </w:r>
        <w:r w:rsidR="007F0378">
          <w:rPr>
            <w:noProof/>
            <w:webHidden/>
          </w:rPr>
          <w:instrText xml:space="preserve"> PAGEREF _Toc187930233 \h </w:instrText>
        </w:r>
        <w:r w:rsidR="007F0378">
          <w:rPr>
            <w:noProof/>
            <w:webHidden/>
          </w:rPr>
        </w:r>
        <w:r w:rsidR="007F0378">
          <w:rPr>
            <w:noProof/>
            <w:webHidden/>
          </w:rPr>
          <w:fldChar w:fldCharType="separate"/>
        </w:r>
        <w:r w:rsidR="007F0378">
          <w:rPr>
            <w:noProof/>
            <w:webHidden/>
          </w:rPr>
          <w:t>35</w:t>
        </w:r>
        <w:r w:rsidR="007F0378">
          <w:rPr>
            <w:noProof/>
            <w:webHidden/>
          </w:rPr>
          <w:fldChar w:fldCharType="end"/>
        </w:r>
      </w:hyperlink>
    </w:p>
    <w:p w14:paraId="398D2619" w14:textId="13431B7D" w:rsidR="007F0378" w:rsidRDefault="00884544">
      <w:pPr>
        <w:pStyle w:val="11"/>
        <w:rPr>
          <w:rFonts w:asciiTheme="minorHAnsi" w:cstheme="minorBidi" w:eastAsiaTheme="minorEastAsia" w:hAnsiTheme="minorHAnsi"/>
          <w:noProof/>
          <w:sz w:val="21"/>
          <w:szCs w:val="22"/>
        </w:rPr>
      </w:pPr>
      <w:hyperlink w:anchor="_Toc187930234" w:history="1">
        <w:r w:rsidR="007F0378" w:rsidRPr="00787794">
          <w:rPr>
            <w:rStyle w:val="af3"/>
            <w:rFonts w:ascii="仿宋" w:eastAsia="仿宋" w:hAnsi="仿宋"/>
            <w:bCs/>
            <w:noProof/>
          </w:rPr>
          <w:t>第十四条 基金管理人和基金托管人的更换</w:t>
        </w:r>
        <w:r w:rsidR="007F0378">
          <w:rPr>
            <w:noProof/>
            <w:webHidden/>
          </w:rPr>
          <w:tab/>
        </w:r>
        <w:r w:rsidR="007F0378">
          <w:rPr>
            <w:noProof/>
            <w:webHidden/>
          </w:rPr>
          <w:fldChar w:fldCharType="begin"/>
        </w:r>
        <w:r w:rsidR="007F0378">
          <w:rPr>
            <w:noProof/>
            <w:webHidden/>
          </w:rPr>
          <w:instrText xml:space="preserve"> PAGEREF _Toc187930234 \h </w:instrText>
        </w:r>
        <w:r w:rsidR="007F0378">
          <w:rPr>
            <w:noProof/>
            <w:webHidden/>
          </w:rPr>
        </w:r>
        <w:r w:rsidR="007F0378">
          <w:rPr>
            <w:noProof/>
            <w:webHidden/>
          </w:rPr>
          <w:fldChar w:fldCharType="separate"/>
        </w:r>
        <w:r w:rsidR="007F0378">
          <w:rPr>
            <w:noProof/>
            <w:webHidden/>
          </w:rPr>
          <w:t>36</w:t>
        </w:r>
        <w:r w:rsidR="007F0378">
          <w:rPr>
            <w:noProof/>
            <w:webHidden/>
          </w:rPr>
          <w:fldChar w:fldCharType="end"/>
        </w:r>
      </w:hyperlink>
    </w:p>
    <w:p w14:paraId="76FB504A" w14:textId="7239205B" w:rsidR="007F0378" w:rsidRDefault="00884544">
      <w:pPr>
        <w:pStyle w:val="11"/>
        <w:rPr>
          <w:rFonts w:asciiTheme="minorHAnsi" w:cstheme="minorBidi" w:eastAsiaTheme="minorEastAsia" w:hAnsiTheme="minorHAnsi"/>
          <w:noProof/>
          <w:sz w:val="21"/>
          <w:szCs w:val="22"/>
        </w:rPr>
      </w:pPr>
      <w:hyperlink w:anchor="_Toc187930235" w:history="1">
        <w:r w:rsidR="007F0378" w:rsidRPr="00787794">
          <w:rPr>
            <w:rStyle w:val="af3"/>
            <w:rFonts w:ascii="仿宋" w:eastAsia="仿宋" w:hAnsi="仿宋"/>
            <w:bCs/>
            <w:noProof/>
          </w:rPr>
          <w:t>第十五条 禁止行为</w:t>
        </w:r>
        <w:r w:rsidR="007F0378">
          <w:rPr>
            <w:noProof/>
            <w:webHidden/>
          </w:rPr>
          <w:tab/>
        </w:r>
        <w:r w:rsidR="007F0378">
          <w:rPr>
            <w:noProof/>
            <w:webHidden/>
          </w:rPr>
          <w:fldChar w:fldCharType="begin"/>
        </w:r>
        <w:r w:rsidR="007F0378">
          <w:rPr>
            <w:noProof/>
            <w:webHidden/>
          </w:rPr>
          <w:instrText xml:space="preserve"> PAGEREF _Toc187930235 \h </w:instrText>
        </w:r>
        <w:r w:rsidR="007F0378">
          <w:rPr>
            <w:noProof/>
            <w:webHidden/>
          </w:rPr>
        </w:r>
        <w:r w:rsidR="007F0378">
          <w:rPr>
            <w:noProof/>
            <w:webHidden/>
          </w:rPr>
          <w:fldChar w:fldCharType="separate"/>
        </w:r>
        <w:r w:rsidR="007F0378">
          <w:rPr>
            <w:noProof/>
            <w:webHidden/>
          </w:rPr>
          <w:t>39</w:t>
        </w:r>
        <w:r w:rsidR="007F0378">
          <w:rPr>
            <w:noProof/>
            <w:webHidden/>
          </w:rPr>
          <w:fldChar w:fldCharType="end"/>
        </w:r>
      </w:hyperlink>
    </w:p>
    <w:p w14:paraId="22442477" w14:textId="201D595F" w:rsidR="007F0378" w:rsidRDefault="00884544">
      <w:pPr>
        <w:pStyle w:val="11"/>
        <w:rPr>
          <w:rFonts w:asciiTheme="minorHAnsi" w:cstheme="minorBidi" w:eastAsiaTheme="minorEastAsia" w:hAnsiTheme="minorHAnsi"/>
          <w:noProof/>
          <w:sz w:val="21"/>
          <w:szCs w:val="22"/>
        </w:rPr>
      </w:pPr>
      <w:hyperlink w:anchor="_Toc187930236" w:history="1">
        <w:r w:rsidR="007F0378" w:rsidRPr="00787794">
          <w:rPr>
            <w:rStyle w:val="af3"/>
            <w:rFonts w:ascii="仿宋" w:eastAsia="仿宋" w:hAnsi="仿宋"/>
            <w:bCs/>
            <w:noProof/>
          </w:rPr>
          <w:t>第十六条 基金托管协议的变更、终止与基金财产的清算</w:t>
        </w:r>
        <w:r w:rsidR="007F0378">
          <w:rPr>
            <w:noProof/>
            <w:webHidden/>
          </w:rPr>
          <w:tab/>
        </w:r>
        <w:r w:rsidR="007F0378">
          <w:rPr>
            <w:noProof/>
            <w:webHidden/>
          </w:rPr>
          <w:fldChar w:fldCharType="begin"/>
        </w:r>
        <w:r w:rsidR="007F0378">
          <w:rPr>
            <w:noProof/>
            <w:webHidden/>
          </w:rPr>
          <w:instrText xml:space="preserve"> PAGEREF _Toc187930236 \h </w:instrText>
        </w:r>
        <w:r w:rsidR="007F0378">
          <w:rPr>
            <w:noProof/>
            <w:webHidden/>
          </w:rPr>
        </w:r>
        <w:r w:rsidR="007F0378">
          <w:rPr>
            <w:noProof/>
            <w:webHidden/>
          </w:rPr>
          <w:fldChar w:fldCharType="separate"/>
        </w:r>
        <w:r w:rsidR="007F0378">
          <w:rPr>
            <w:noProof/>
            <w:webHidden/>
          </w:rPr>
          <w:t>40</w:t>
        </w:r>
        <w:r w:rsidR="007F0378">
          <w:rPr>
            <w:noProof/>
            <w:webHidden/>
          </w:rPr>
          <w:fldChar w:fldCharType="end"/>
        </w:r>
      </w:hyperlink>
    </w:p>
    <w:p w14:paraId="2B37AD31" w14:textId="3C0491C8" w:rsidR="007F0378" w:rsidRDefault="00884544">
      <w:pPr>
        <w:pStyle w:val="11"/>
        <w:rPr>
          <w:rFonts w:asciiTheme="minorHAnsi" w:cstheme="minorBidi" w:eastAsiaTheme="minorEastAsia" w:hAnsiTheme="minorHAnsi"/>
          <w:noProof/>
          <w:sz w:val="21"/>
          <w:szCs w:val="22"/>
        </w:rPr>
      </w:pPr>
      <w:hyperlink w:anchor="_Toc187930237" w:history="1">
        <w:r w:rsidR="007F0378" w:rsidRPr="00787794">
          <w:rPr>
            <w:rStyle w:val="af3"/>
            <w:rFonts w:ascii="仿宋" w:eastAsia="仿宋" w:hAnsi="仿宋"/>
            <w:bCs/>
            <w:noProof/>
          </w:rPr>
          <w:t>第十七条 违约责任</w:t>
        </w:r>
        <w:r w:rsidR="007F0378">
          <w:rPr>
            <w:noProof/>
            <w:webHidden/>
          </w:rPr>
          <w:tab/>
        </w:r>
        <w:r w:rsidR="007F0378">
          <w:rPr>
            <w:noProof/>
            <w:webHidden/>
          </w:rPr>
          <w:fldChar w:fldCharType="begin"/>
        </w:r>
        <w:r w:rsidR="007F0378">
          <w:rPr>
            <w:noProof/>
            <w:webHidden/>
          </w:rPr>
          <w:instrText xml:space="preserve"> PAGEREF _Toc187930237 \h </w:instrText>
        </w:r>
        <w:r w:rsidR="007F0378">
          <w:rPr>
            <w:noProof/>
            <w:webHidden/>
          </w:rPr>
        </w:r>
        <w:r w:rsidR="007F0378">
          <w:rPr>
            <w:noProof/>
            <w:webHidden/>
          </w:rPr>
          <w:fldChar w:fldCharType="separate"/>
        </w:r>
        <w:r w:rsidR="007F0378">
          <w:rPr>
            <w:noProof/>
            <w:webHidden/>
          </w:rPr>
          <w:t>42</w:t>
        </w:r>
        <w:r w:rsidR="007F0378">
          <w:rPr>
            <w:noProof/>
            <w:webHidden/>
          </w:rPr>
          <w:fldChar w:fldCharType="end"/>
        </w:r>
      </w:hyperlink>
    </w:p>
    <w:p w14:paraId="11FC00FA" w14:textId="016BE919" w:rsidR="007F0378" w:rsidRDefault="00884544">
      <w:pPr>
        <w:pStyle w:val="11"/>
        <w:rPr>
          <w:rFonts w:asciiTheme="minorHAnsi" w:cstheme="minorBidi" w:eastAsiaTheme="minorEastAsia" w:hAnsiTheme="minorHAnsi"/>
          <w:noProof/>
          <w:sz w:val="21"/>
          <w:szCs w:val="22"/>
        </w:rPr>
      </w:pPr>
      <w:hyperlink w:anchor="_Toc187930238" w:history="1">
        <w:r w:rsidR="007F0378" w:rsidRPr="00787794">
          <w:rPr>
            <w:rStyle w:val="af3"/>
            <w:rFonts w:ascii="仿宋" w:eastAsia="仿宋" w:hAnsi="仿宋"/>
            <w:bCs/>
            <w:noProof/>
          </w:rPr>
          <w:t>第十八条 争议解决方式</w:t>
        </w:r>
        <w:r w:rsidR="007F0378">
          <w:rPr>
            <w:noProof/>
            <w:webHidden/>
          </w:rPr>
          <w:tab/>
        </w:r>
        <w:r w:rsidR="007F0378">
          <w:rPr>
            <w:noProof/>
            <w:webHidden/>
          </w:rPr>
          <w:fldChar w:fldCharType="begin"/>
        </w:r>
        <w:r w:rsidR="007F0378">
          <w:rPr>
            <w:noProof/>
            <w:webHidden/>
          </w:rPr>
          <w:instrText xml:space="preserve"> PAGEREF _Toc187930238 \h </w:instrText>
        </w:r>
        <w:r w:rsidR="007F0378">
          <w:rPr>
            <w:noProof/>
            <w:webHidden/>
          </w:rPr>
        </w:r>
        <w:r w:rsidR="007F0378">
          <w:rPr>
            <w:noProof/>
            <w:webHidden/>
          </w:rPr>
          <w:fldChar w:fldCharType="separate"/>
        </w:r>
        <w:r w:rsidR="007F0378">
          <w:rPr>
            <w:noProof/>
            <w:webHidden/>
          </w:rPr>
          <w:t>43</w:t>
        </w:r>
        <w:r w:rsidR="007F0378">
          <w:rPr>
            <w:noProof/>
            <w:webHidden/>
          </w:rPr>
          <w:fldChar w:fldCharType="end"/>
        </w:r>
      </w:hyperlink>
    </w:p>
    <w:p w14:paraId="0BBE37F0" w14:textId="01E32DD3" w:rsidR="007F0378" w:rsidRDefault="00884544">
      <w:pPr>
        <w:pStyle w:val="11"/>
        <w:rPr>
          <w:rFonts w:asciiTheme="minorHAnsi" w:cstheme="minorBidi" w:eastAsiaTheme="minorEastAsia" w:hAnsiTheme="minorHAnsi"/>
          <w:noProof/>
          <w:sz w:val="21"/>
          <w:szCs w:val="22"/>
        </w:rPr>
      </w:pPr>
      <w:hyperlink w:anchor="_Toc187930239" w:history="1">
        <w:r w:rsidR="007F0378" w:rsidRPr="00787794">
          <w:rPr>
            <w:rStyle w:val="af3"/>
            <w:rFonts w:ascii="仿宋" w:eastAsia="仿宋" w:hAnsi="仿宋"/>
            <w:bCs/>
            <w:noProof/>
          </w:rPr>
          <w:t>第十九条 基金托管协议的效力</w:t>
        </w:r>
        <w:r w:rsidR="007F0378">
          <w:rPr>
            <w:noProof/>
            <w:webHidden/>
          </w:rPr>
          <w:tab/>
        </w:r>
        <w:r w:rsidR="007F0378">
          <w:rPr>
            <w:noProof/>
            <w:webHidden/>
          </w:rPr>
          <w:fldChar w:fldCharType="begin"/>
        </w:r>
        <w:r w:rsidR="007F0378">
          <w:rPr>
            <w:noProof/>
            <w:webHidden/>
          </w:rPr>
          <w:instrText xml:space="preserve"> PAGEREF _Toc187930239 \h </w:instrText>
        </w:r>
        <w:r w:rsidR="007F0378">
          <w:rPr>
            <w:noProof/>
            <w:webHidden/>
          </w:rPr>
        </w:r>
        <w:r w:rsidR="007F0378">
          <w:rPr>
            <w:noProof/>
            <w:webHidden/>
          </w:rPr>
          <w:fldChar w:fldCharType="separate"/>
        </w:r>
        <w:r w:rsidR="007F0378">
          <w:rPr>
            <w:noProof/>
            <w:webHidden/>
          </w:rPr>
          <w:t>44</w:t>
        </w:r>
        <w:r w:rsidR="007F0378">
          <w:rPr>
            <w:noProof/>
            <w:webHidden/>
          </w:rPr>
          <w:fldChar w:fldCharType="end"/>
        </w:r>
      </w:hyperlink>
    </w:p>
    <w:p w14:paraId="1B749FBF" w14:textId="52F0A99E" w:rsidR="007F0378" w:rsidRDefault="00884544">
      <w:pPr>
        <w:pStyle w:val="11"/>
        <w:rPr>
          <w:rFonts w:asciiTheme="minorHAnsi" w:cstheme="minorBidi" w:eastAsiaTheme="minorEastAsia" w:hAnsiTheme="minorHAnsi"/>
          <w:noProof/>
          <w:sz w:val="21"/>
          <w:szCs w:val="22"/>
        </w:rPr>
      </w:pPr>
      <w:hyperlink w:anchor="_Toc187930240" w:history="1">
        <w:r w:rsidR="007F0378" w:rsidRPr="00787794">
          <w:rPr>
            <w:rStyle w:val="af3"/>
            <w:rFonts w:ascii="仿宋" w:eastAsia="仿宋" w:hAnsi="仿宋"/>
            <w:bCs/>
            <w:noProof/>
          </w:rPr>
          <w:t>第二十条 基金托管协议的签订</w:t>
        </w:r>
        <w:r w:rsidR="007F0378">
          <w:rPr>
            <w:noProof/>
            <w:webHidden/>
          </w:rPr>
          <w:tab/>
        </w:r>
        <w:r w:rsidR="007F0378">
          <w:rPr>
            <w:noProof/>
            <w:webHidden/>
          </w:rPr>
          <w:fldChar w:fldCharType="begin"/>
        </w:r>
        <w:r w:rsidR="007F0378">
          <w:rPr>
            <w:noProof/>
            <w:webHidden/>
          </w:rPr>
          <w:instrText xml:space="preserve"> PAGEREF _Toc187930240 \h </w:instrText>
        </w:r>
        <w:r w:rsidR="007F0378">
          <w:rPr>
            <w:noProof/>
            <w:webHidden/>
          </w:rPr>
        </w:r>
        <w:r w:rsidR="007F0378">
          <w:rPr>
            <w:noProof/>
            <w:webHidden/>
          </w:rPr>
          <w:fldChar w:fldCharType="separate"/>
        </w:r>
        <w:r w:rsidR="007F0378">
          <w:rPr>
            <w:noProof/>
            <w:webHidden/>
          </w:rPr>
          <w:t>45</w:t>
        </w:r>
        <w:r w:rsidR="007F0378">
          <w:rPr>
            <w:noProof/>
            <w:webHidden/>
          </w:rPr>
          <w:fldChar w:fldCharType="end"/>
        </w:r>
      </w:hyperlink>
    </w:p>
    <w:p w14:paraId="642126A5" w14:textId="4702DB93" w:rsidR="007F0378" w:rsidRDefault="00884544">
      <w:pPr>
        <w:pStyle w:val="11"/>
        <w:rPr>
          <w:rFonts w:asciiTheme="minorHAnsi" w:cstheme="minorBidi" w:eastAsiaTheme="minorEastAsia" w:hAnsiTheme="minorHAnsi"/>
          <w:noProof/>
          <w:sz w:val="21"/>
          <w:szCs w:val="22"/>
        </w:rPr>
      </w:pPr>
      <w:hyperlink w:anchor="_Toc187930241" w:history="1">
        <w:r w:rsidR="007F0378" w:rsidRPr="00787794">
          <w:rPr>
            <w:rStyle w:val="af3"/>
            <w:rFonts w:ascii="仿宋" w:eastAsia="仿宋" w:hAnsi="仿宋"/>
            <w:bCs/>
            <w:noProof/>
          </w:rPr>
          <w:t>第二十一条 不可抗力</w:t>
        </w:r>
        <w:r w:rsidR="007F0378">
          <w:rPr>
            <w:noProof/>
            <w:webHidden/>
          </w:rPr>
          <w:tab/>
        </w:r>
        <w:r w:rsidR="007F0378">
          <w:rPr>
            <w:noProof/>
            <w:webHidden/>
          </w:rPr>
          <w:fldChar w:fldCharType="begin"/>
        </w:r>
        <w:r w:rsidR="007F0378">
          <w:rPr>
            <w:noProof/>
            <w:webHidden/>
          </w:rPr>
          <w:instrText xml:space="preserve"> PAGEREF _Toc187930241 \h </w:instrText>
        </w:r>
        <w:r w:rsidR="007F0378">
          <w:rPr>
            <w:noProof/>
            <w:webHidden/>
          </w:rPr>
        </w:r>
        <w:r w:rsidR="007F0378">
          <w:rPr>
            <w:noProof/>
            <w:webHidden/>
          </w:rPr>
          <w:fldChar w:fldCharType="separate"/>
        </w:r>
        <w:r w:rsidR="007F0378">
          <w:rPr>
            <w:noProof/>
            <w:webHidden/>
          </w:rPr>
          <w:t>46</w:t>
        </w:r>
        <w:r w:rsidR="007F0378">
          <w:rPr>
            <w:noProof/>
            <w:webHidden/>
          </w:rPr>
          <w:fldChar w:fldCharType="end"/>
        </w:r>
      </w:hyperlink>
    </w:p>
    <w:p w14:paraId="03172533" w14:textId="66D473FC" w:rsidR="00ED7E69" w:rsidRDefault="00083714">
      <w:pPr>
        <w:rPr>
          <w:rFonts w:ascii="仿宋" w:eastAsia="仿宋" w:hAnsi="仿宋"/>
          <w:color w:val="000000"/>
          <w:sz w:val="28"/>
          <w:szCs w:val="28"/>
        </w:rPr>
      </w:pPr>
      <w:r>
        <w:rPr>
          <w:rFonts w:ascii="仿宋" w:eastAsia="仿宋" w:hAnsi="仿宋"/>
          <w:color w:val="000000"/>
          <w:sz w:val="28"/>
          <w:szCs w:val="28"/>
        </w:rPr>
        <w:fldChar w:fldCharType="end"/>
      </w:r>
    </w:p>
    <w:p w14:paraId="29FACAF4" w14:textId="77777777" w:rsidR="00ED7E69" w:rsidRDefault="00ED7E69">
      <w:pPr>
        <w:rPr>
          <w:rFonts w:ascii="仿宋" w:eastAsia="仿宋" w:hAnsi="仿宋"/>
          <w:color w:val="000000"/>
          <w:sz w:val="28"/>
          <w:szCs w:val="28"/>
        </w:rPr>
      </w:pPr>
    </w:p>
    <w:p w14:paraId="1548B9AE" w14:textId="53D3E734" w:rsidR="00ED7E69" w:rsidRDefault="00083714">
      <w:pPr>
        <w:ind w:firstLine="560" w:firstLineChars="200"/>
        <w:rPr>
          <w:rFonts w:ascii="仿宋" w:eastAsia="仿宋" w:hAnsi="仿宋"/>
          <w:b/>
          <w:color w:val="000000"/>
          <w:sz w:val="28"/>
          <w:szCs w:val="28"/>
        </w:rPr>
      </w:pPr>
      <w:r>
        <w:rPr>
          <w:rFonts w:ascii="仿宋" w:eastAsia="仿宋" w:hAnsi="仿宋"/>
          <w:color w:val="000000"/>
          <w:sz w:val="28"/>
          <w:szCs w:val="28"/>
        </w:rPr>
        <w:br w:type="page"/>
      </w:r>
      <w:r w:rsidR="005771CA">
        <w:rPr>
          <w:rFonts w:ascii="仿宋" w:eastAsia="仿宋" w:hAnsi="仿宋" w:hint="eastAsia"/>
          <w:b/>
          <w:color w:val="000000"/>
          <w:sz w:val="28"/>
          <w:szCs w:val="28"/>
        </w:rPr>
        <w:lastRenderedPageBreak/>
        <w:t>华夏卓越成长混合型证券投资基金</w:t>
      </w:r>
      <w:r>
        <w:rPr>
          <w:rFonts w:ascii="仿宋" w:eastAsia="仿宋" w:hAnsi="仿宋" w:hint="eastAsia"/>
          <w:b/>
          <w:color w:val="000000"/>
          <w:sz w:val="28"/>
          <w:szCs w:val="28"/>
        </w:rPr>
        <w:t>托管协议</w:t>
      </w:r>
    </w:p>
    <w:p w14:paraId="2207F3D2" w14:textId="77777777" w:rsidR="00ED7E69" w:rsidRDefault="00ED7E69">
      <w:pPr>
        <w:rPr>
          <w:rFonts w:ascii="仿宋" w:eastAsia="仿宋" w:hAnsi="仿宋"/>
          <w:b/>
          <w:color w:val="000000"/>
          <w:sz w:val="28"/>
          <w:szCs w:val="28"/>
        </w:rPr>
      </w:pPr>
    </w:p>
    <w:p w14:paraId="26218E31" w14:textId="291B243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基金管理人：华夏基金管理有限公司</w:t>
      </w:r>
    </w:p>
    <w:p w14:paraId="7058AB8A"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住所：北京市顺义区安庆大街甲3号院</w:t>
      </w:r>
    </w:p>
    <w:p w14:paraId="14B9C0C0"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法定代表人：张佑君</w:t>
      </w:r>
    </w:p>
    <w:p w14:paraId="352443B7"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设立日期：1998年4月9日</w:t>
      </w:r>
    </w:p>
    <w:p w14:paraId="4B46A5A3"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批准设立机关及批准设立文号：中国证监会证监基字[1998]16号文</w:t>
      </w:r>
    </w:p>
    <w:p w14:paraId="704D361A"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组织形式：有限责任公司</w:t>
      </w:r>
    </w:p>
    <w:p w14:paraId="5D21861E"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注册资本：2.38亿元人民币</w:t>
      </w:r>
    </w:p>
    <w:p w14:paraId="6A2324B5"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存续期限：100年</w:t>
      </w:r>
    </w:p>
    <w:p w14:paraId="079D886C" w14:textId="52C2F01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联系电话：400-818-6666</w:t>
      </w:r>
    </w:p>
    <w:p w14:paraId="41875520" w14:textId="77777777" w:rsidR="00ED7E69" w:rsidRDefault="00ED7E69">
      <w:pPr>
        <w:pStyle w:val="21"/>
        <w:rPr>
          <w:rFonts w:ascii="仿宋" w:eastAsia="仿宋" w:hAnsi="仿宋"/>
          <w:color w:val="000000"/>
          <w:sz w:val="28"/>
          <w:szCs w:val="28"/>
        </w:rPr>
      </w:pPr>
    </w:p>
    <w:p w14:paraId="7FD987CF" w14:textId="1B81027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 xml:space="preserve">基金托管人：中信银行股份有限公司 </w:t>
      </w:r>
    </w:p>
    <w:p w14:paraId="573C1293"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住所：北京市朝阳区光华路10号院1号楼6-30层、32-42层</w:t>
      </w:r>
    </w:p>
    <w:p w14:paraId="36A16D5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法定代表人：方合英</w:t>
      </w:r>
    </w:p>
    <w:p w14:paraId="69EC7792"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设立日期：1987年4月20日</w:t>
      </w:r>
    </w:p>
    <w:p w14:paraId="2FB41B7E"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批准设立机关及批准设立文号：中华人民共和国国务院办公厅国办函[1987]14号</w:t>
      </w:r>
    </w:p>
    <w:p w14:paraId="2B8F897D"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基金托管业务批准文号：证监基金字[2004]125号</w:t>
      </w:r>
    </w:p>
    <w:p w14:paraId="3C9A5CA6"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组织形式：股份有限公司</w:t>
      </w:r>
    </w:p>
    <w:p w14:paraId="08E116C9"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注册资本：489.35亿元人民币</w:t>
      </w:r>
    </w:p>
    <w:p w14:paraId="3E33E5A0"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存续期间：持续经营</w:t>
      </w:r>
    </w:p>
    <w:p w14:paraId="67FD0556"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联系电话：4006800000</w:t>
      </w:r>
    </w:p>
    <w:p w14:paraId="70C2A8C1" w14:textId="77777777" w:rsidR="00ED7E69" w:rsidRDefault="00ED7E69">
      <w:pPr>
        <w:rPr>
          <w:rFonts w:ascii="仿宋" w:eastAsia="仿宋" w:hAnsi="仿宋"/>
          <w:b/>
          <w:bCs/>
          <w:color w:val="000000"/>
          <w:sz w:val="28"/>
          <w:szCs w:val="28"/>
        </w:rPr>
      </w:pPr>
    </w:p>
    <w:p w14:paraId="76D0DF42" w14:textId="77777777" w:rsidR="00ED7E69" w:rsidRDefault="00083714">
      <w:pPr>
        <w:ind w:firstLine="562" w:firstLineChars="200"/>
        <w:rPr>
          <w:rFonts w:ascii="仿宋" w:eastAsia="仿宋" w:hAnsi="仿宋"/>
          <w:b/>
          <w:bCs/>
          <w:color w:val="000000"/>
          <w:sz w:val="28"/>
          <w:szCs w:val="28"/>
        </w:rPr>
      </w:pPr>
      <w:r>
        <w:rPr>
          <w:rFonts w:ascii="仿宋" w:eastAsia="仿宋" w:hAnsi="仿宋" w:hint="eastAsia"/>
          <w:b/>
          <w:bCs/>
          <w:color w:val="000000"/>
          <w:sz w:val="28"/>
          <w:szCs w:val="28"/>
        </w:rPr>
        <w:t>鉴于：</w:t>
      </w:r>
    </w:p>
    <w:p w14:paraId="4611DD97" w14:textId="2D87D1C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1．华夏基金管理有限公司系一家依照中国法律合法成立并有效存续的有限责任公司，按照相关法律法规的规定具备担任基金管理人的资格和能力；</w:t>
      </w:r>
    </w:p>
    <w:p w14:paraId="366EB203" w14:textId="4E889F1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2.中信银行股份有限公司系一家依照中国法律合法成立并有效存续的银行，按照相关法律法规的规定具备担任基金托管人的资格和能力；</w:t>
      </w:r>
    </w:p>
    <w:p w14:paraId="4FAFF3DB" w14:textId="2152C36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 华夏基金管理有限公司拟担任</w:t>
      </w:r>
      <w:r w:rsidR="005771CA">
        <w:rPr>
          <w:rFonts w:ascii="仿宋" w:eastAsia="仿宋" w:hAnsi="仿宋" w:hint="eastAsia"/>
          <w:color w:val="000000"/>
          <w:sz w:val="28"/>
          <w:szCs w:val="28"/>
        </w:rPr>
        <w:t>华夏卓越成长混合型证券投资基金</w:t>
      </w:r>
      <w:r>
        <w:rPr>
          <w:rFonts w:ascii="仿宋" w:eastAsia="仿宋" w:hAnsi="仿宋" w:hint="eastAsia"/>
          <w:color w:val="000000"/>
          <w:sz w:val="28"/>
          <w:szCs w:val="28"/>
        </w:rPr>
        <w:t>的基金管理人，中信银行股份有限公司拟担任</w:t>
      </w:r>
      <w:r w:rsidR="005771CA">
        <w:rPr>
          <w:rFonts w:ascii="仿宋" w:eastAsia="仿宋" w:hAnsi="仿宋" w:hint="eastAsia"/>
          <w:color w:val="000000"/>
          <w:sz w:val="28"/>
          <w:szCs w:val="28"/>
        </w:rPr>
        <w:t>华夏卓越成长混合型证券投资基金</w:t>
      </w:r>
      <w:r>
        <w:rPr>
          <w:rFonts w:ascii="仿宋" w:eastAsia="仿宋" w:hAnsi="仿宋" w:hint="eastAsia"/>
          <w:color w:val="000000"/>
          <w:sz w:val="28"/>
          <w:szCs w:val="28"/>
        </w:rPr>
        <w:t>的基金托管人；</w:t>
      </w:r>
    </w:p>
    <w:p w14:paraId="2C2AFF70" w14:textId="7F1FCA9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为明确双方在</w:t>
      </w:r>
      <w:r w:rsidR="005771CA">
        <w:rPr>
          <w:rFonts w:ascii="仿宋" w:eastAsia="仿宋" w:hAnsi="仿宋" w:hint="eastAsia"/>
          <w:color w:val="000000"/>
          <w:sz w:val="28"/>
          <w:szCs w:val="28"/>
        </w:rPr>
        <w:t>华夏卓越成长混合型证券投资基金</w:t>
      </w:r>
      <w:r>
        <w:rPr>
          <w:rFonts w:ascii="仿宋" w:eastAsia="仿宋" w:hAnsi="仿宋" w:hint="eastAsia"/>
          <w:color w:val="000000"/>
          <w:sz w:val="28"/>
          <w:szCs w:val="28"/>
        </w:rPr>
        <w:t>（</w:t>
      </w:r>
      <w:r>
        <w:rPr>
          <w:rFonts w:ascii="仿宋" w:eastAsia="仿宋" w:hAnsi="仿宋"/>
          <w:color w:val="000000"/>
          <w:sz w:val="28"/>
          <w:szCs w:val="28"/>
        </w:rPr>
        <w:t>以下简称“</w:t>
      </w:r>
      <w:r>
        <w:rPr>
          <w:rFonts w:ascii="仿宋" w:eastAsia="仿宋" w:hAnsi="仿宋" w:hint="eastAsia"/>
          <w:color w:val="000000"/>
          <w:sz w:val="28"/>
          <w:szCs w:val="28"/>
        </w:rPr>
        <w:t>基金</w:t>
      </w:r>
      <w:r>
        <w:rPr>
          <w:rFonts w:ascii="仿宋" w:eastAsia="仿宋" w:hAnsi="仿宋"/>
          <w:color w:val="000000"/>
          <w:sz w:val="28"/>
          <w:szCs w:val="28"/>
        </w:rPr>
        <w:t>”</w:t>
      </w:r>
      <w:r>
        <w:rPr>
          <w:rFonts w:ascii="仿宋" w:eastAsia="仿宋" w:hAnsi="仿宋" w:hint="eastAsia"/>
          <w:color w:val="000000"/>
          <w:sz w:val="28"/>
          <w:szCs w:val="28"/>
        </w:rPr>
        <w:t>）托管中的权利、义务及责任，确保基金财产的安全，保护基金份额持有人的合法权益，依据《中华人民共和国民法典》等法律法规以及相关规定，双方本着平等自愿、诚实守信的原则特签订本协议。</w:t>
      </w:r>
    </w:p>
    <w:p w14:paraId="08962E3A" w14:textId="77777777" w:rsidR="00ED7E69" w:rsidRDefault="00ED7E69">
      <w:pPr>
        <w:pStyle w:val="21"/>
        <w:rPr>
          <w:rFonts w:ascii="仿宋" w:eastAsia="仿宋" w:hAnsi="仿宋"/>
          <w:color w:val="000000"/>
          <w:sz w:val="28"/>
          <w:szCs w:val="28"/>
        </w:rPr>
      </w:pPr>
    </w:p>
    <w:p w14:paraId="047825F0" w14:textId="77777777" w:rsidR="00ED7E69" w:rsidRDefault="00083714">
      <w:pPr>
        <w:pStyle w:val="21"/>
        <w:rPr>
          <w:rFonts w:ascii="仿宋" w:eastAsia="仿宋" w:hAnsi="仿宋"/>
          <w:b/>
          <w:bCs/>
          <w:color w:val="000000"/>
          <w:sz w:val="28"/>
          <w:szCs w:val="28"/>
        </w:rPr>
      </w:pPr>
      <w:r>
        <w:rPr>
          <w:rFonts w:ascii="仿宋" w:eastAsia="仿宋" w:hAnsi="仿宋" w:hint="eastAsia"/>
          <w:b/>
          <w:bCs/>
          <w:color w:val="000000"/>
          <w:sz w:val="28"/>
          <w:szCs w:val="28"/>
        </w:rPr>
        <w:t>释义：</w:t>
      </w:r>
    </w:p>
    <w:p w14:paraId="10542AE0" w14:textId="01AB0FB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除非另有约定，《</w:t>
      </w:r>
      <w:r w:rsidR="005771CA">
        <w:rPr>
          <w:rFonts w:ascii="仿宋" w:eastAsia="仿宋" w:hAnsi="仿宋" w:hint="eastAsia"/>
          <w:color w:val="000000"/>
          <w:sz w:val="28"/>
          <w:szCs w:val="28"/>
        </w:rPr>
        <w:t>华夏卓越成长混合型证券投资基金</w:t>
      </w:r>
      <w:r>
        <w:rPr>
          <w:rFonts w:ascii="仿宋" w:eastAsia="仿宋" w:hAnsi="仿宋" w:hint="eastAsia"/>
          <w:color w:val="000000"/>
          <w:sz w:val="28"/>
          <w:szCs w:val="28"/>
        </w:rPr>
        <w:t xml:space="preserve">基金合同》(以下简称“基金合同”)中定义的术语在用于本协议时应具有相同的含义；若有抵触应以基金合同为准，并依其条款解释。 </w:t>
      </w:r>
    </w:p>
    <w:p w14:paraId="07FDA02E" w14:textId="77777777" w:rsidR="00ED7E69" w:rsidRDefault="00ED7E69">
      <w:pPr>
        <w:pStyle w:val="21"/>
        <w:rPr>
          <w:rFonts w:ascii="仿宋" w:eastAsia="仿宋" w:hAnsi="仿宋"/>
          <w:color w:val="000000"/>
          <w:sz w:val="28"/>
          <w:szCs w:val="28"/>
        </w:rPr>
      </w:pPr>
    </w:p>
    <w:p w14:paraId="27F6BF28" w14:textId="77777777" w:rsidR="00ED7E69" w:rsidRDefault="00ED7E69">
      <w:pPr>
        <w:pStyle w:val="1"/>
        <w:rPr>
          <w:rFonts w:ascii="仿宋" w:eastAsia="仿宋" w:hAnsi="仿宋"/>
          <w:bCs/>
          <w:sz w:val="28"/>
          <w:szCs w:val="28"/>
        </w:rPr>
        <w:sectPr w:rsidR="00ED7E69">
          <w:headerReference r:id="rId7" w:type="default"/>
          <w:footerReference r:id="rId8" w:type="even"/>
          <w:footerReference r:id="rId9" w:type="default"/>
          <w:footerReference r:id="rId10" w:type="first"/>
          <w:pgSz w:h="16840" w:w="11907"/>
          <w:pgMar w:bottom="1134" w:footer="720" w:gutter="0" w:header="720" w:left="1452" w:right="1452" w:top="1361"/>
          <w:cols w:space="720"/>
          <w:titlePg/>
        </w:sectPr>
      </w:pPr>
      <w:bookmarkStart w:id="16" w:name="_Toc296551337"/>
    </w:p>
    <w:p w14:paraId="40102F15" w14:textId="70B9B82B" w:rsidR="00ED7E69" w:rsidRDefault="00083714">
      <w:pPr>
        <w:pStyle w:val="1"/>
        <w:rPr>
          <w:rFonts w:ascii="仿宋" w:eastAsia="仿宋" w:hAnsi="仿宋"/>
          <w:bCs/>
          <w:sz w:val="28"/>
          <w:szCs w:val="28"/>
        </w:rPr>
      </w:pPr>
      <w:bookmarkStart w:id="17" w:name="_Toc187930221"/>
      <w:r>
        <w:rPr>
          <w:rFonts w:ascii="仿宋" w:eastAsia="仿宋" w:hAnsi="仿宋" w:hint="eastAsia"/>
          <w:bCs/>
          <w:sz w:val="28"/>
          <w:szCs w:val="28"/>
        </w:rPr>
        <w:t>第一条 基金托管协议当事人</w:t>
      </w:r>
      <w:bookmarkEnd w:id="16"/>
      <w:bookmarkEnd w:id="17"/>
    </w:p>
    <w:p w14:paraId="47EB1265" w14:textId="3E8D567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1.1基金管理人：</w:t>
      </w:r>
    </w:p>
    <w:p w14:paraId="202D7766" w14:textId="4F3A42C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名称：华夏基金管理有限公司</w:t>
      </w:r>
    </w:p>
    <w:p w14:paraId="0B4A3B35"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住所：北京市顺义区安庆大街甲3号院</w:t>
      </w:r>
    </w:p>
    <w:p w14:paraId="39CE07BE"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法定代表人：张佑君</w:t>
      </w:r>
    </w:p>
    <w:p w14:paraId="300BD34D"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设立日期：1998年4月9日</w:t>
      </w:r>
    </w:p>
    <w:p w14:paraId="50B5EB31"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批准设立机关及批准设立文号：中国证监会证监基字[1998]16号文</w:t>
      </w:r>
    </w:p>
    <w:p w14:paraId="6E0C95CF"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组织形式：有限责任公司</w:t>
      </w:r>
    </w:p>
    <w:p w14:paraId="73DC0C53"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注册资本：2.38亿元人民币</w:t>
      </w:r>
    </w:p>
    <w:p w14:paraId="5BD1BC2B" w14:textId="77777777" w:rsidR="00ED7E69" w:rsidRDefault="00083714">
      <w:pPr>
        <w:spacing w:after="60" w:before="60"/>
        <w:ind w:left="479"/>
        <w:rPr>
          <w:rFonts w:ascii="仿宋" w:cstheme="minorBidi" w:eastAsia="仿宋" w:hAnsi="仿宋"/>
          <w:color w:val="000000"/>
          <w:sz w:val="28"/>
          <w:szCs w:val="28"/>
        </w:rPr>
      </w:pPr>
      <w:r>
        <w:rPr>
          <w:rFonts w:ascii="仿宋" w:cstheme="minorBidi" w:eastAsia="仿宋" w:hAnsi="仿宋" w:hint="eastAsia"/>
          <w:color w:val="000000"/>
          <w:sz w:val="28"/>
          <w:szCs w:val="28"/>
        </w:rPr>
        <w:t>存续期限：100年</w:t>
      </w:r>
    </w:p>
    <w:p w14:paraId="04EBB6D0" w14:textId="68ECBAB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联系电话：400-818-6666</w:t>
      </w:r>
    </w:p>
    <w:p w14:paraId="61D10F78" w14:textId="77777777" w:rsidR="00ED7E69" w:rsidRDefault="00ED7E69">
      <w:pPr>
        <w:pStyle w:val="21"/>
        <w:rPr>
          <w:rFonts w:ascii="仿宋" w:eastAsia="仿宋" w:hAnsi="仿宋"/>
          <w:color w:val="000000"/>
          <w:sz w:val="28"/>
          <w:szCs w:val="28"/>
        </w:rPr>
      </w:pPr>
    </w:p>
    <w:p w14:paraId="5FBC09D9" w14:textId="2480BC6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1.2基金托管人：</w:t>
      </w:r>
    </w:p>
    <w:p w14:paraId="4BD2B966"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名称：中信银行股份有限公司</w:t>
      </w:r>
    </w:p>
    <w:p w14:paraId="6E1F69A6"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住所：北京市朝阳区光华路10号院1号楼6-30层、32-42层</w:t>
      </w:r>
    </w:p>
    <w:p w14:paraId="4624FF3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法定代表人：方合英</w:t>
      </w:r>
    </w:p>
    <w:p w14:paraId="145FA8D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设立日期：1987年4月20日</w:t>
      </w:r>
    </w:p>
    <w:p w14:paraId="34DCFB00"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批准设立机关及批准设立文号：中华人民共和国国务院办公厅国办函[1987]14号</w:t>
      </w:r>
    </w:p>
    <w:p w14:paraId="1C960000" w14:textId="77777777" w:rsidR="00ED7E69" w:rsidRDefault="00083714">
      <w:pPr>
        <w:pStyle w:val="21"/>
        <w:ind w:firstLine="560" w:firstLineChars="200" w:left="0"/>
        <w:rPr>
          <w:rFonts w:ascii="仿宋" w:eastAsia="仿宋" w:hAnsi="仿宋"/>
          <w:color w:val="000000"/>
          <w:sz w:val="28"/>
          <w:szCs w:val="28"/>
        </w:rPr>
      </w:pPr>
      <w:r>
        <w:rPr>
          <w:rFonts w:ascii="仿宋" w:eastAsia="仿宋" w:hAnsi="仿宋" w:hint="eastAsia"/>
          <w:color w:val="000000"/>
          <w:sz w:val="28"/>
          <w:szCs w:val="28"/>
        </w:rPr>
        <w:t>基金托管业务批准文号：证监基金字[2004]125号</w:t>
      </w:r>
    </w:p>
    <w:p w14:paraId="418AC10A"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组织形式：股份有限公司</w:t>
      </w:r>
    </w:p>
    <w:p w14:paraId="031C699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注册资本：489.35亿元人民币</w:t>
      </w:r>
    </w:p>
    <w:p w14:paraId="740B67DF"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存续期间：持续经营</w:t>
      </w:r>
    </w:p>
    <w:p w14:paraId="749CC1AF"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联系电话：4006800000</w:t>
      </w:r>
    </w:p>
    <w:p w14:paraId="3CBF481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提供保管箱服务；结汇、售汇业务；代理开放式基金业务；办理黄金业务；黄金进出口；开展证券投资基金、企业年金基金、保险资金、合格境外机构投资者托管业务；经国务院银行业监督管理机构批准的其他业务。保险兼业代理业务（有效期至20</w:t>
      </w:r>
      <w:r>
        <w:rPr>
          <w:rFonts w:ascii="仿宋" w:eastAsia="仿宋" w:hAnsi="仿宋"/>
          <w:color w:val="000000"/>
          <w:sz w:val="28"/>
          <w:szCs w:val="28"/>
        </w:rPr>
        <w:t>20</w:t>
      </w:r>
      <w:r>
        <w:rPr>
          <w:rFonts w:ascii="仿宋" w:eastAsia="仿宋" w:hAnsi="仿宋" w:hint="eastAsia"/>
          <w:color w:val="000000"/>
          <w:sz w:val="28"/>
          <w:szCs w:val="28"/>
        </w:rPr>
        <w:t>年09月0</w:t>
      </w:r>
      <w:r>
        <w:rPr>
          <w:rFonts w:ascii="仿宋" w:eastAsia="仿宋" w:hAnsi="仿宋"/>
          <w:color w:val="000000"/>
          <w:sz w:val="28"/>
          <w:szCs w:val="28"/>
        </w:rPr>
        <w:t>9</w:t>
      </w:r>
      <w:r>
        <w:rPr>
          <w:rFonts w:ascii="仿宋" w:eastAsia="仿宋" w:hAnsi="仿宋" w:hint="eastAsia"/>
          <w:color w:val="000000"/>
          <w:sz w:val="28"/>
          <w:szCs w:val="28"/>
        </w:rPr>
        <w:t>日）。</w:t>
      </w:r>
    </w:p>
    <w:p w14:paraId="113D7B64" w14:textId="77777777" w:rsidR="00ED7E69" w:rsidRDefault="00ED7E69">
      <w:pPr>
        <w:pStyle w:val="1"/>
        <w:rPr>
          <w:rFonts w:ascii="仿宋" w:eastAsia="仿宋" w:hAnsi="仿宋"/>
          <w:bCs/>
          <w:sz w:val="28"/>
          <w:szCs w:val="28"/>
        </w:rPr>
        <w:sectPr w:rsidR="00ED7E69">
          <w:footerReference r:id="rId11" w:type="default"/>
          <w:footerReference r:id="rId12" w:type="first"/>
          <w:pgSz w:h="16840" w:w="11907"/>
          <w:pgMar w:bottom="1134" w:footer="720" w:gutter="0" w:header="720" w:left="1452" w:right="1452" w:top="1361"/>
          <w:cols w:space="720"/>
          <w:docGrid w:linePitch="286"/>
        </w:sectPr>
      </w:pPr>
      <w:bookmarkStart w:id="18" w:name="_Toc296551338"/>
    </w:p>
    <w:p w14:paraId="7EB3676B" w14:textId="79C77F92" w:rsidR="00ED7E69" w:rsidRDefault="00083714">
      <w:pPr>
        <w:pStyle w:val="1"/>
        <w:rPr>
          <w:rFonts w:ascii="仿宋" w:eastAsia="仿宋" w:hAnsi="仿宋"/>
          <w:bCs/>
          <w:sz w:val="28"/>
          <w:szCs w:val="28"/>
        </w:rPr>
      </w:pPr>
      <w:bookmarkStart w:id="19" w:name="_Toc187930222"/>
      <w:r>
        <w:rPr>
          <w:rFonts w:ascii="仿宋" w:eastAsia="仿宋" w:hAnsi="仿宋" w:hint="eastAsia"/>
          <w:bCs/>
          <w:sz w:val="28"/>
          <w:szCs w:val="28"/>
        </w:rPr>
        <w:t>第二条 基金托管协议的依据、目的和原则</w:t>
      </w:r>
      <w:bookmarkEnd w:id="18"/>
      <w:bookmarkEnd w:id="19"/>
    </w:p>
    <w:p w14:paraId="439367A3" w14:textId="65DFCF7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2.1基金托管协议的依据</w:t>
      </w:r>
    </w:p>
    <w:p w14:paraId="08FBA41F" w14:textId="735E68A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订立本协议的依据是《中华人民共和国民法典》、《中华人民共和国证券法》（以下简称“《证券法》”）、《中华人民共和国证券投资基金法》（以下简称“《基金法》”）、《公开募集证券投资基金运作管理办法》（以下简称“《运作办法》”）、《公开募集证券投资基金销售机构监督管理办法》（以下简称“《销售办法》”）、《公开募集证券投资基金信息披露管理办法》（以下简称“《信息披露办法》”）、《公开募集开放式证券投资基金流动性风险管理规定》《证券投资基金信息披露内容与格式准则第7号〈托管协议的内容与格式〉》、基金合同及其他有关规定。</w:t>
      </w:r>
    </w:p>
    <w:p w14:paraId="38D3ECD0" w14:textId="07E16B1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2.2基金托管协议的目的</w:t>
      </w:r>
    </w:p>
    <w:p w14:paraId="3530C034" w14:textId="66FFC93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订立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2A4A6029" w14:textId="7DD7819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2.3基金托管协议的原则</w:t>
      </w:r>
    </w:p>
    <w:p w14:paraId="0257D380" w14:textId="46EF1C4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基金管理人和基金托管人本着平等自愿、诚实信用、充分保护基金份额持有人合法权益的原则，经协商一致，签订本协议。</w:t>
      </w:r>
    </w:p>
    <w:p w14:paraId="7E59775D" w14:textId="77777777" w:rsidR="00ED7E69" w:rsidRDefault="00ED7E69">
      <w:pPr>
        <w:pStyle w:val="21"/>
        <w:rPr>
          <w:rFonts w:ascii="仿宋" w:eastAsia="仿宋" w:hAnsi="仿宋"/>
          <w:color w:val="000000"/>
          <w:sz w:val="28"/>
          <w:szCs w:val="28"/>
        </w:rPr>
      </w:pPr>
    </w:p>
    <w:p w14:paraId="49452EE3" w14:textId="77777777" w:rsidR="00ED7E69" w:rsidRDefault="00ED7E69">
      <w:pPr>
        <w:pStyle w:val="1"/>
        <w:rPr>
          <w:rFonts w:ascii="仿宋" w:eastAsia="仿宋" w:hAnsi="仿宋"/>
          <w:bCs/>
          <w:sz w:val="28"/>
          <w:szCs w:val="28"/>
        </w:rPr>
        <w:sectPr w:rsidR="00ED7E69">
          <w:footerReference r:id="rId13" w:type="default"/>
          <w:footerReference r:id="rId14" w:type="first"/>
          <w:pgSz w:h="16840" w:w="11907"/>
          <w:pgMar w:bottom="1134" w:footer="720" w:gutter="0" w:header="720" w:left="1452" w:right="1452" w:top="1361"/>
          <w:cols w:space="720"/>
          <w:docGrid w:linePitch="286"/>
        </w:sectPr>
      </w:pPr>
      <w:bookmarkStart w:id="20" w:name="_Toc296551339"/>
    </w:p>
    <w:p w14:paraId="7E248DDB" w14:textId="23FF7087" w:rsidR="00ED7E69" w:rsidRDefault="00083714">
      <w:pPr>
        <w:pStyle w:val="1"/>
        <w:rPr>
          <w:rFonts w:ascii="仿宋" w:eastAsia="仿宋" w:hAnsi="仿宋"/>
          <w:bCs/>
          <w:sz w:val="28"/>
          <w:szCs w:val="28"/>
        </w:rPr>
      </w:pPr>
      <w:bookmarkStart w:id="21" w:name="_Toc187930223"/>
      <w:r>
        <w:rPr>
          <w:rFonts w:ascii="仿宋" w:eastAsia="仿宋" w:hAnsi="仿宋" w:hint="eastAsia"/>
          <w:bCs/>
          <w:sz w:val="28"/>
          <w:szCs w:val="28"/>
        </w:rPr>
        <w:t>第三条 基金托管人对基金管理人的业务监督和核查</w:t>
      </w:r>
      <w:bookmarkEnd w:id="20"/>
      <w:bookmarkEnd w:id="21"/>
    </w:p>
    <w:p w14:paraId="5B631121" w14:textId="574F3EC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3.1基金托管人对基金管理人的投资行为行使监督权</w:t>
      </w:r>
    </w:p>
    <w:p w14:paraId="02950186" w14:textId="32509A1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3.1.1基金托管人根据有关法律法规的规定和基金合同的约定，对基金投资范围、投资对象进行监督。本基金将投资于以下金融工具：</w:t>
      </w:r>
    </w:p>
    <w:p w14:paraId="29681FB0" w14:textId="57AD468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本基金的投资范围为具有良好流动性的金融工具，包括国内依法发行的股票（包括主板、创业板、存托凭证以及其他经中国证监会允许投资的股票）、港股通标的股票、债券（包括国债、地方政府债、金融债、企业债、公司债、次级债、可转换债券、分离交易可转债、央行票据、中期票据、短期融资券（含超短期融资券）、可交换债券）、资产支持证券、债券回购、银行存款（包括定期存款、协议存款、通知存款等）、同业存单、股指期货、国债期货、股票期权以及法律法规或中国证监会允许基金投资的其他金融工具(但须符合中国证监会的相关规定)。</w:t>
      </w:r>
    </w:p>
    <w:p w14:paraId="1A946AA6" w14:textId="77777777" w:rsidP="007F037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本基金可根据相关法律法规和《基金合同》的约定，参与融资业务。</w:t>
      </w:r>
    </w:p>
    <w:p w14:paraId="4ACC2644" w14:textId="2D77908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如法律法规或监管机构以后允许公开募集证券投资基金投资其他品种，基金管理人在履行适当程序后，可以将其纳入投资范围。</w:t>
      </w:r>
    </w:p>
    <w:p w14:paraId="14E4CEE1" w14:textId="19F969A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基金的投资组合比例为：本基金股票投资占基金资产的</w:t>
      </w:r>
      <w:r w:rsidR="005972BD">
        <w:rPr>
          <w:rFonts w:ascii="仿宋" w:eastAsia="仿宋" w:hAnsi="仿宋" w:hint="eastAsia"/>
          <w:color w:val="000000"/>
          <w:sz w:val="28"/>
          <w:szCs w:val="28"/>
        </w:rPr>
        <w:t>6</w:t>
      </w:r>
      <w:r>
        <w:rPr>
          <w:rFonts w:ascii="仿宋" w:eastAsia="仿宋" w:hAnsi="仿宋" w:hint="eastAsia"/>
          <w:color w:val="000000"/>
          <w:sz w:val="28"/>
          <w:szCs w:val="28"/>
        </w:rPr>
        <w:t>0</w:t>
      </w:r>
      <w:r w:rsidR="006234DF">
        <w:rPr>
          <w:rFonts w:ascii="仿宋" w:eastAsia="仿宋" w:hAnsi="仿宋"/>
          <w:color w:val="000000"/>
          <w:sz w:val="28"/>
          <w:szCs w:val="28"/>
        </w:rPr>
        <w:t>%</w:t>
      </w:r>
      <w:r>
        <w:rPr>
          <w:rFonts w:ascii="仿宋" w:eastAsia="仿宋" w:hAnsi="仿宋" w:hint="eastAsia"/>
          <w:color w:val="000000"/>
          <w:sz w:val="28"/>
          <w:szCs w:val="28"/>
        </w:rPr>
        <w:t>-95%，其中投资于港股通标的股票比例占股票资产的0-50%。每个交易日日终扣除股指期货合约、国债期货合约、股票期权合约需缴纳的交易保证金后，本基金持有的现金或到期日在一年以内的政府债券的投资比例合计不低于基金资产净值的5%，其中，现金不包括结算备付金、存出保证金、应收申购款等。</w:t>
      </w:r>
    </w:p>
    <w:p w14:paraId="28E14EDA" w14:textId="77777777" w:rsidP="007F037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如法律法规或中国证监会变更上述投资品种的比例限制，以变更后的比例为准，基金管理人在依法履行适当程序后，可对本基金的投资比例做相应调整。</w:t>
      </w:r>
    </w:p>
    <w:p w14:paraId="669AD51D" w14:textId="0D4023C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3.1.2基金托管人根据有关法律法规的规定及基金合同的约定对下述基金投融资比例进行监督：</w:t>
      </w:r>
    </w:p>
    <w:p w14:paraId="5CEEA428" w14:textId="70A8CBA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本基金的投资组合将遵循以下比例限制：</w:t>
      </w:r>
    </w:p>
    <w:p w14:paraId="4A1C7E94" w14:textId="1056F13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（1）本基金的股票资产投资比例为基金资产的</w:t>
      </w:r>
      <w:r w:rsidR="005972BD">
        <w:rPr>
          <w:rFonts w:ascii="仿宋" w:eastAsia="仿宋" w:hAnsi="仿宋"/>
          <w:color w:val="000000"/>
          <w:sz w:val="28"/>
          <w:szCs w:val="28"/>
        </w:rPr>
        <w:t>6</w:t>
      </w:r>
      <w:r>
        <w:rPr>
          <w:rFonts w:ascii="仿宋" w:eastAsia="仿宋" w:hAnsi="仿宋" w:hint="eastAsia"/>
          <w:color w:val="000000"/>
          <w:sz w:val="28"/>
          <w:szCs w:val="28"/>
        </w:rPr>
        <w:t>0%-95%，其中投资于港股通标的股票的比例占股票资产的0-50%；</w:t>
      </w:r>
    </w:p>
    <w:p w14:paraId="4230CAC2" w14:textId="0C5BD78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每个交易日日终扣除股指期货合约、国债期货合约、股票期权合约需缴纳的交易保证金后，本基金保持不低于基金资产净值5%的现金或者到期日在一年以内的政府债券，其中，现金不包括结算备付金、存出保证金、应收申购款等；</w:t>
      </w:r>
    </w:p>
    <w:p w14:paraId="64DF49E5" w14:textId="1C3A720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（3）本基金持有一家公司发行的证券（同一家公司在内地和香港同时上市的A+H股合计计算），其市值不超过基金资产净值的10%；</w:t>
      </w:r>
    </w:p>
    <w:p w14:paraId="6522B2BA" w14:textId="486168C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（4）本基金管理人管理的全部基金持有一家公司发行的证券（同一家公司在内地和香港同时上市的A+H股合计计算），不超过该证券的10%；</w:t>
      </w:r>
    </w:p>
    <w:p w14:paraId="7F2F6FEB" w14:textId="55D91F9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5</w:t>
      </w:r>
      <w:r>
        <w:rPr>
          <w:rFonts w:ascii="仿宋" w:eastAsia="仿宋" w:hAnsi="仿宋" w:hint="eastAsia"/>
          <w:color w:val="000000"/>
          <w:sz w:val="28"/>
          <w:szCs w:val="28"/>
        </w:rPr>
        <w:t>）本基金投资于同一原始权益人的各类资产支持证券的比例，不得超过基金资产净值的10%；</w:t>
      </w:r>
    </w:p>
    <w:p w14:paraId="59E58F38" w14:textId="1611DBD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6</w:t>
      </w:r>
      <w:r>
        <w:rPr>
          <w:rFonts w:ascii="仿宋" w:eastAsia="仿宋" w:hAnsi="仿宋" w:hint="eastAsia"/>
          <w:color w:val="000000"/>
          <w:sz w:val="28"/>
          <w:szCs w:val="28"/>
        </w:rPr>
        <w:t>）本基金持有的全部资产支持证券，其市值不得超过基金资产净值的20%；</w:t>
      </w:r>
    </w:p>
    <w:p w14:paraId="56B43321" w14:textId="462A77C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7</w:t>
      </w:r>
      <w:r>
        <w:rPr>
          <w:rFonts w:ascii="仿宋" w:eastAsia="仿宋" w:hAnsi="仿宋" w:hint="eastAsia"/>
          <w:color w:val="000000"/>
          <w:sz w:val="28"/>
          <w:szCs w:val="28"/>
        </w:rPr>
        <w:t>）本基金持有的同一(指同一信用级别)资产支持证券的比例，不得超过该资产支持证券规模的10%；</w:t>
      </w:r>
    </w:p>
    <w:p w14:paraId="5A1A6662" w14:textId="31F7EC2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8</w:t>
      </w:r>
      <w:r>
        <w:rPr>
          <w:rFonts w:ascii="仿宋" w:eastAsia="仿宋" w:hAnsi="仿宋" w:hint="eastAsia"/>
          <w:color w:val="000000"/>
          <w:sz w:val="28"/>
          <w:szCs w:val="28"/>
        </w:rPr>
        <w:t>）本基金管理人管理的全部基金投资于同一原始权益人的各类资产支持证券，不得超过其各类资产支持证券合计规模的10%；</w:t>
      </w:r>
    </w:p>
    <w:p w14:paraId="41D69EEF" w14:textId="142D261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9</w:t>
      </w:r>
      <w:r>
        <w:rPr>
          <w:rFonts w:ascii="仿宋" w:eastAsia="仿宋" w:hAnsi="仿宋" w:hint="eastAsia"/>
          <w:color w:val="000000"/>
          <w:sz w:val="28"/>
          <w:szCs w:val="28"/>
        </w:rPr>
        <w:t>）本基金应投资于信用级别评级为BBB以上(含BBB)的资产支持证券。基金持有资产支持证券期间，如果其信用等级下降、不再符合投资标准，应在评级报告发布之日起3个月内予以全部卖出；</w:t>
      </w:r>
    </w:p>
    <w:p w14:paraId="619C0ECA" w14:textId="53B7D57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10</w:t>
      </w:r>
      <w:r>
        <w:rPr>
          <w:rFonts w:ascii="仿宋" w:eastAsia="仿宋" w:hAnsi="仿宋" w:hint="eastAsia"/>
          <w:color w:val="000000"/>
          <w:sz w:val="28"/>
          <w:szCs w:val="28"/>
        </w:rPr>
        <w:t>）基金财产参与股票发行申购，本基金所申报的金额不超过本基金的总资产，本基金所申报的股票数量不超过拟发行股票公司本次发行股票的总量；</w:t>
      </w:r>
    </w:p>
    <w:p w14:paraId="3AF03EAA" w14:textId="4084C38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11</w:t>
      </w:r>
      <w:r>
        <w:rPr>
          <w:rFonts w:ascii="仿宋" w:eastAsia="仿宋" w:hAnsi="仿宋" w:hint="eastAsia"/>
          <w:color w:val="000000"/>
          <w:sz w:val="28"/>
          <w:szCs w:val="28"/>
        </w:rPr>
        <w:t>）本基金管理人管理的全部开放式基金持有一家上市公司发行的可流通股票，不得超过该上市公司可流通股票的15%；</w:t>
      </w:r>
    </w:p>
    <w:p w14:paraId="2DA0CD16" w14:textId="404EFA4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12</w:t>
      </w:r>
      <w:r>
        <w:rPr>
          <w:rFonts w:ascii="仿宋" w:eastAsia="仿宋" w:hAnsi="仿宋" w:hint="eastAsia"/>
          <w:color w:val="000000"/>
          <w:sz w:val="28"/>
          <w:szCs w:val="28"/>
        </w:rPr>
        <w:t>）本基金管理人管理的全部投资组合持有一家上市公司发行的可流通股票，不得超过该上市公司可流通股票的30%；</w:t>
      </w:r>
    </w:p>
    <w:p w14:paraId="4FFD4743" w14:textId="30A5E51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13</w:t>
      </w:r>
      <w:r>
        <w:rPr>
          <w:rFonts w:ascii="仿宋" w:eastAsia="仿宋" w:hAnsi="仿宋" w:hint="eastAsia"/>
          <w:color w:val="000000"/>
          <w:sz w:val="28"/>
          <w:szCs w:val="28"/>
        </w:rPr>
        <w:t>）本基金主动投资于流动性受限资产的市值合计不得超过本基金资产净值的15%。因证券市场波动、上市公司股票停牌、基金规模变动等基金管理人之外的因素致使基金不符合该比例限制的，基金管理人不得主动新增流动性受限资产的投资；</w:t>
      </w:r>
    </w:p>
    <w:p w14:paraId="42A3B1BA" w14:textId="5BD35D1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14</w:t>
      </w:r>
      <w:r>
        <w:rPr>
          <w:rFonts w:ascii="仿宋" w:eastAsia="仿宋" w:hAnsi="仿宋" w:hint="eastAsia"/>
          <w:color w:val="000000"/>
          <w:sz w:val="28"/>
          <w:szCs w:val="28"/>
        </w:rPr>
        <w:t>）本基金与私募类证券资管产品及中国证监会认定的其他主体为交易对手开展逆回购交易的，可接受质押品的资质要求应当与基金合同约定的投资范围保持一致；</w:t>
      </w:r>
    </w:p>
    <w:p w14:paraId="1CE604FD" w14:textId="08E13D3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15</w:t>
      </w:r>
      <w:r>
        <w:rPr>
          <w:rFonts w:ascii="仿宋" w:eastAsia="仿宋" w:hAnsi="仿宋" w:hint="eastAsia"/>
          <w:color w:val="000000"/>
          <w:sz w:val="28"/>
          <w:szCs w:val="28"/>
        </w:rPr>
        <w:t>）本基金参与股指期货交易，应当遵守下列要求：本基金在任何交易日日终，持有的买入股指期货合约价值，不得超过基金资产净值的10%；在任何交易日日终，持有的卖出股指期货合约价值不得超过基金持有的股票总市值的20%；本基金所持有的股票市值和买入、卖出股指期货合约价值，合计（轧差计算）应当符合基金合同关于股票投资比例的有关约定；在任何交易日内交易（不包括平仓）的股指期货合约的成交金额不得超过上一交易日基金资产净值的20%；</w:t>
      </w:r>
    </w:p>
    <w:p w14:paraId="3F5A1E46" w14:textId="35388B5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16</w:t>
      </w:r>
      <w:r>
        <w:rPr>
          <w:rFonts w:ascii="仿宋" w:eastAsia="仿宋" w:hAnsi="仿宋" w:hint="eastAsia"/>
          <w:color w:val="000000"/>
          <w:sz w:val="28"/>
          <w:szCs w:val="28"/>
        </w:rPr>
        <w:t>）本基金参与国债期货交易，应当遵守下列要求：本基金在任何交易日日终，持有的买入国债期货合约价值，不得超过基金资产净值的15%；在任何交易日日终，持有的卖出国债期货合约价值不得超过基金持有的债券总市值的30%；基金所持有的债券（不含到期日在一年以内的政府债券）市值和买入、卖出国债期货合约价值，合计（轧差计算）应当符合基金合同关于债券投资比例的有关约定；在任何交易日内交易（不包括平仓）的国债期货合约的成交金额不得超过上一交易日基金资产净值的30%；</w:t>
      </w:r>
    </w:p>
    <w:p w14:paraId="7F483E64" w14:textId="7192C61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17</w:t>
      </w:r>
      <w:r>
        <w:rPr>
          <w:rFonts w:ascii="仿宋" w:eastAsia="仿宋" w:hAnsi="仿宋" w:hint="eastAsia"/>
          <w:color w:val="000000"/>
          <w:sz w:val="28"/>
          <w:szCs w:val="28"/>
        </w:rPr>
        <w:t>）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118E6FCD" w14:textId="26C54B0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18</w:t>
      </w:r>
      <w:r>
        <w:rPr>
          <w:rFonts w:ascii="仿宋" w:eastAsia="仿宋" w:hAnsi="仿宋" w:hint="eastAsia"/>
          <w:color w:val="000000"/>
          <w:sz w:val="28"/>
          <w:szCs w:val="28"/>
        </w:rPr>
        <w:t>）本基金参与股票期权交易，应当符合下列要求：</w:t>
      </w:r>
      <w:r w:rsidR="006234DF">
        <w:rPr>
          <w:rFonts w:ascii="仿宋" w:eastAsia="仿宋" w:hAnsi="仿宋" w:hint="eastAsia"/>
          <w:color w:val="000000"/>
          <w:sz w:val="28"/>
          <w:szCs w:val="28"/>
        </w:rPr>
        <w:t>本</w:t>
      </w:r>
      <w:r>
        <w:rPr>
          <w:rFonts w:ascii="仿宋" w:eastAsia="仿宋" w:hAnsi="仿宋" w:hint="eastAsia"/>
          <w:color w:val="000000"/>
          <w:sz w:val="28"/>
          <w:szCs w:val="28"/>
        </w:rPr>
        <w:t>基金因未平仓的期权合约支付和收取的权利金总额不得超过基金资产净值的10%；开仓卖出认购期权的，应持有足额标的证券；开仓卖出认沽期权的，应持有合约行权所需的全额现金或交易所规则认可的可冲抵期权保证金的现金等价物；未平仓的期权合约面值不得超过基金资产净值的20%。其中，合约面值按照行权价乘以合约乘数计算；</w:t>
      </w:r>
    </w:p>
    <w:p w14:paraId="2063CD7D"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9</w:t>
      </w:r>
      <w:r>
        <w:rPr>
          <w:rFonts w:ascii="仿宋" w:eastAsia="仿宋" w:hAnsi="仿宋" w:hint="eastAsia"/>
          <w:color w:val="000000"/>
          <w:sz w:val="28"/>
          <w:szCs w:val="28"/>
        </w:rPr>
        <w:t>）基金参与融资业务后，在任何交易日日终，本基金持有的融资买入股票与其他有价证券市值之和，不得超过基金资产净值的95%；</w:t>
      </w:r>
    </w:p>
    <w:p w14:paraId="2FCEE8DC" w14:textId="1377D16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20</w:t>
      </w:r>
      <w:r>
        <w:rPr>
          <w:rFonts w:ascii="仿宋" w:eastAsia="仿宋" w:hAnsi="仿宋" w:hint="eastAsia"/>
          <w:color w:val="000000"/>
          <w:sz w:val="28"/>
          <w:szCs w:val="28"/>
        </w:rPr>
        <w:t>）本基金总资产不得超过基金净资产的140%；</w:t>
      </w:r>
    </w:p>
    <w:p w14:paraId="2FC81F75"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（21）本基金投资存托凭证的比例限制依照境内上市交易的股票执行，与境内上市交易的股票合并计算；</w:t>
      </w:r>
    </w:p>
    <w:p w14:paraId="2B6B95AF" w14:textId="3DB3FB1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22</w:t>
      </w:r>
      <w:r>
        <w:rPr>
          <w:rFonts w:ascii="仿宋" w:eastAsia="仿宋" w:hAnsi="仿宋" w:hint="eastAsia"/>
          <w:color w:val="000000"/>
          <w:sz w:val="28"/>
          <w:szCs w:val="28"/>
        </w:rPr>
        <w:t>）法律法规及中国证监会规定的和《基金合同》约定的其他投资比例限制。</w:t>
      </w:r>
    </w:p>
    <w:p w14:paraId="595A2DAB" w14:textId="7381B74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除上述第（2）、（</w:t>
      </w:r>
      <w:r>
        <w:rPr>
          <w:rFonts w:ascii="仿宋" w:eastAsia="仿宋" w:hAnsi="仿宋"/>
          <w:color w:val="000000"/>
          <w:sz w:val="28"/>
          <w:szCs w:val="28"/>
        </w:rPr>
        <w:t>9</w:t>
      </w:r>
      <w:r>
        <w:rPr>
          <w:rFonts w:ascii="仿宋" w:eastAsia="仿宋" w:hAnsi="仿宋" w:hint="eastAsia"/>
          <w:color w:val="000000"/>
          <w:sz w:val="28"/>
          <w:szCs w:val="28"/>
        </w:rPr>
        <w:t>）、（</w:t>
      </w:r>
      <w:r>
        <w:rPr>
          <w:rFonts w:ascii="仿宋" w:eastAsia="仿宋" w:hAnsi="仿宋"/>
          <w:color w:val="000000"/>
          <w:sz w:val="28"/>
          <w:szCs w:val="28"/>
        </w:rPr>
        <w:t>13</w:t>
      </w:r>
      <w:r>
        <w:rPr>
          <w:rFonts w:ascii="仿宋" w:eastAsia="仿宋" w:hAnsi="仿宋" w:hint="eastAsia"/>
          <w:color w:val="000000"/>
          <w:sz w:val="28"/>
          <w:szCs w:val="28"/>
        </w:rPr>
        <w:t>）、（</w:t>
      </w:r>
      <w:r>
        <w:rPr>
          <w:rFonts w:ascii="仿宋" w:eastAsia="仿宋" w:hAnsi="仿宋"/>
          <w:color w:val="000000"/>
          <w:sz w:val="28"/>
          <w:szCs w:val="28"/>
        </w:rPr>
        <w:t>14</w:t>
      </w:r>
      <w:r>
        <w:rPr>
          <w:rFonts w:ascii="仿宋" w:eastAsia="仿宋" w:hAnsi="仿宋" w:hint="eastAsia"/>
          <w:color w:val="000000"/>
          <w:sz w:val="28"/>
          <w:szCs w:val="28"/>
        </w:rPr>
        <w:t>）项情形之外，因证券、期货市场波动、证券发行人合并、基金规模变动等基金管理人之外的因素致使基金投资比例不符合上述规定投资比例的，基金管理人应当在流动性受限资产可出售、可转让或者恢复交易的10个交易日内进行调整，但中国证监会规定的特殊情形除外。法律法规或监管部门另有规定时，从其规定。</w:t>
      </w:r>
    </w:p>
    <w:p w14:paraId="7396E3D1" w14:textId="1ECFCA2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EAEBBF0" w14:textId="7487550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如果法律法规或监管部门对上述投资比例限制进行变更的，以变更后的规定为准。法律法规或监管部门取消上述限制，如适用于本基金，基金管理人在履行适当程序后，则本基金投资不再受相关限制。</w:t>
      </w:r>
    </w:p>
    <w:p w14:paraId="106CDF80" w14:textId="7584BCC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3.1.3基金托管人根据有关法律法规的规定及基金合同的约定对下述基金投资禁止行为进行监督：</w:t>
      </w:r>
    </w:p>
    <w:p w14:paraId="3BC6E7F9" w14:textId="5712829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根据法律法规的规定及基金合同的约定，本基金禁止从事下列行为：</w:t>
      </w:r>
    </w:p>
    <w:p w14:paraId="58BE1751"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（1）承销证券；</w:t>
      </w:r>
    </w:p>
    <w:p w14:paraId="0F9172CB"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（2）违反规定向他人贷款或者提供担保；</w:t>
      </w:r>
    </w:p>
    <w:p w14:paraId="59ED8C98"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（3）从事承担无限责任的投资；</w:t>
      </w:r>
    </w:p>
    <w:p w14:paraId="09377B90"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（4）买卖其他基金份额，但是中国证监会另有规定的除外；</w:t>
      </w:r>
    </w:p>
    <w:p w14:paraId="308BFCB5" w14:textId="6699DBB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（5）向其基金管理人、基金托管人出资；</w:t>
      </w:r>
    </w:p>
    <w:p w14:paraId="056A8AD8"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（6）从事内幕交易、操纵证券交易价格及其他不正当的证券交易活动；</w:t>
      </w:r>
    </w:p>
    <w:p w14:paraId="635D20D6"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（7）法律、行政法规和中国证监会规定禁止的其他活动。</w:t>
      </w:r>
    </w:p>
    <w:p w14:paraId="06C19D91" w14:textId="5C806EA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CC685C3" w14:textId="3A8B81B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如法律、行政法规或监管部门取消或变更上述禁止性规定，基金管理人在履行适当程序后，本基金可不受上述规定的限制或以变更后的规定为准</w:t>
      </w:r>
      <w:r>
        <w:rPr>
          <w:rFonts w:ascii="仿宋" w:eastAsia="仿宋" w:hAnsi="仿宋"/>
          <w:color w:val="000000"/>
          <w:sz w:val="28"/>
          <w:szCs w:val="28"/>
        </w:rPr>
        <w:t>。</w:t>
      </w:r>
    </w:p>
    <w:p w14:paraId="77066B9E" w14:textId="1150727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3.1.4基金托管人依据有关法律法规的规定和基金合同的约定对于基金关联投资限制进行监督：</w:t>
      </w:r>
    </w:p>
    <w:p w14:paraId="4C5B8E2C" w14:textId="48211DF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根据法律法规有关基金从事的关联交易的规定，基金管理人和基金托管人应事先相互提供与本机构有控股关系的股东或与本机构有其他重大利害关系的公司名单及其更新，加盖公章并书面提交，并确保所提供名单的真实性、完整性、全面性。名单变更后基金管理人、基金托管人应及时发送对方，相应方于</w:t>
      </w:r>
      <w:r>
        <w:rPr>
          <w:rFonts w:ascii="仿宋" w:eastAsia="仿宋" w:hAnsi="仿宋"/>
          <w:color w:val="000000"/>
          <w:sz w:val="28"/>
          <w:szCs w:val="28"/>
        </w:rPr>
        <w:t>2个工作日内进行回函确认已知名单的变更。名单变更时间以基金管理人</w:t>
      </w:r>
      <w:r>
        <w:rPr>
          <w:rFonts w:ascii="仿宋" w:eastAsia="仿宋" w:hAnsi="仿宋" w:hint="eastAsia"/>
          <w:color w:val="000000"/>
          <w:sz w:val="28"/>
          <w:szCs w:val="28"/>
        </w:rPr>
        <w:t>、基金托管人收到对方回函确认的时间为准。</w:t>
      </w:r>
    </w:p>
    <w:p w14:paraId="6F6A1EE6" w14:textId="226E9B9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若基金托管人发现基金管理人与关联方进行法律法规禁止基金从事的交易时，基金托管人应及时提醒并协助基金管理人采取必要措施阻止该交易的发生，若基金托管人采取必要措施后仍无法阻止该交易发生时，基金托管人有权向中国证监会报告，由此造成的损失和责任基金托管人不予承担。对于交易所场内已成交的违规交易，基金托管人应按相关法律法规和交易所规则的规定进行结算，同时向中国证监会报告，基金托管人没有过错的不承担由此造成的损失和责任。</w:t>
      </w:r>
    </w:p>
    <w:p w14:paraId="5530537E" w14:textId="2E3993F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3.1.5基金托管人依据有关法律法规的规定和基金合同的约定对基金管理人参与银行间债券市场进行监督：</w:t>
      </w:r>
    </w:p>
    <w:p w14:paraId="39FFDF04" w14:textId="4CCE949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（1）基金托管人依据有关法律法规的规定和基金合同的约定对于基金管理人参与银行间债券市场交易时面临的交易对手资信风险进行监督。</w:t>
      </w:r>
    </w:p>
    <w:p w14:paraId="281B78EB" w14:textId="1D9D57C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管理人应定期或不定期对银行间债券市场现券及回购交易对手的名单进行更新，名单中增加或减少银行间债券市场交易对手时须及时通知基金托管人，基金托管人于2个工作日内回函确认收到后，对名单进行更新。基金管理人收到基金托管人书面确认后，被确认调整的名单开始生效，新名单生效前已与本次剔除的交易对手所进行但尚未结算的交易，仍应按照双方原定协议进行结算。</w:t>
      </w:r>
    </w:p>
    <w:p w14:paraId="40FA8864" w14:textId="137C991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如果基金托管人发现基金管理人与不在名单内的银行间债券市场交易对手进行交易，应及时提醒基金管理人撤销交易，经提醒后基金管理人仍执行交易并造成基金资产损失的，基金托管人没有过错的不承担责任。</w:t>
      </w:r>
    </w:p>
    <w:p w14:paraId="664F46EF" w14:textId="63A29D6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（2）基金托管人对于基金管理人参与银行间债券市场交易的交易方式的控制。</w:t>
      </w:r>
    </w:p>
    <w:p w14:paraId="0A611A2A" w14:textId="4A894FF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没有过错的不承担责任。</w:t>
      </w:r>
    </w:p>
    <w:p w14:paraId="4A3580D8" w14:textId="18EA6BA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基金管理人按银行间债券市场的交易规则进行交易，并负责解决因交易对手不履行合同而造成的纠纷及损失。若未履约的交易对手在基金管理人确定的时间内仍未承担违约责任及其他相关法律责任的，基金管理人应依法向相关交易对手追偿。基金托管人则根据银行间债券市场成交单对合同履行情况进行监督。如基金托管人事后发现基金管理人没有按照事先约定的交易对手进行交易时，基金托管人应及时提醒基金管理人，基金托管人没有过错的不承担由此造成的损失和责任。</w:t>
      </w:r>
    </w:p>
    <w:p w14:paraId="019CB22B" w14:textId="6D38BFE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3.1.</w:t>
      </w:r>
      <w:r>
        <w:rPr>
          <w:rFonts w:ascii="仿宋" w:eastAsia="仿宋" w:hAnsi="仿宋"/>
          <w:color w:val="000000"/>
          <w:sz w:val="28"/>
          <w:szCs w:val="28"/>
        </w:rPr>
        <w:t>6</w:t>
      </w:r>
      <w:r>
        <w:rPr>
          <w:rFonts w:ascii="仿宋" w:eastAsia="仿宋" w:hAnsi="仿宋" w:hint="eastAsia"/>
          <w:color w:val="000000"/>
          <w:sz w:val="28"/>
          <w:szCs w:val="28"/>
        </w:rPr>
        <w:t>基金托管人根据有关法律法规的规定及基金合同的约定，对基金管理人选择存款银行进行监督：</w:t>
      </w:r>
    </w:p>
    <w:p w14:paraId="736BCAF9" w14:textId="2E4A460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0956AADF" w14:textId="726D11F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本基金投资银行存款应符合如下规定：</w:t>
      </w:r>
    </w:p>
    <w:p w14:paraId="5CE5E821" w14:textId="36E4DDD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w:t>
      </w:r>
      <w:r>
        <w:rPr>
          <w:rFonts w:ascii="仿宋" w:eastAsia="仿宋" w:hAnsi="仿宋" w:hint="eastAsia"/>
          <w:color w:val="000000"/>
          <w:sz w:val="28"/>
          <w:szCs w:val="28"/>
        </w:rPr>
        <w:t>）基金管理人、基金托管人应当与存款银行建立定期对账机制，确保基金银行存款业务账目及核算的真实、准确。</w:t>
      </w:r>
    </w:p>
    <w:p w14:paraId="7B071FE3" w14:textId="068E352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2</w:t>
      </w:r>
      <w:r>
        <w:rPr>
          <w:rFonts w:ascii="仿宋" w:eastAsia="仿宋" w:hAnsi="仿宋" w:hint="eastAsia"/>
          <w:color w:val="000000"/>
          <w:sz w:val="28"/>
          <w:szCs w:val="28"/>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5B5F48DD" w14:textId="0F0DE19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3</w:t>
      </w:r>
      <w:r>
        <w:rPr>
          <w:rFonts w:ascii="仿宋" w:eastAsia="仿宋" w:hAnsi="仿宋" w:hint="eastAsia"/>
          <w:color w:val="000000"/>
          <w:sz w:val="28"/>
          <w:szCs w:val="28"/>
        </w:rPr>
        <w:t>）基金托管人应加强对基金银行存款业务的监督与核查，严格审查、复核相关协议、账户资料、投资指令、存款证实书等有关文件，切实履行托管职责。</w:t>
      </w:r>
    </w:p>
    <w:p w14:paraId="717B3ACC" w14:textId="1474C0B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4</w:t>
      </w:r>
      <w:r>
        <w:rPr>
          <w:rFonts w:ascii="仿宋" w:eastAsia="仿宋" w:hAnsi="仿宋" w:hint="eastAsia"/>
          <w:color w:val="000000"/>
          <w:sz w:val="28"/>
          <w:szCs w:val="28"/>
        </w:rPr>
        <w:t>）基金管理人与基金托管人在开展基金存款业务时，应严格遵守《基金法》、《运作办法》等有关法律法规，以及国家有关账户管理、利率管理、支付结算等的各项规定。</w:t>
      </w:r>
    </w:p>
    <w:p w14:paraId="1F8B8F42" w14:textId="3BD8B91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p>
    <w:p w14:paraId="4803A739" w14:textId="3BAD6F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3.2基金托管人对基金管理人业务进行监督和核查的有关措施：</w:t>
      </w:r>
    </w:p>
    <w:p w14:paraId="4F332427" w14:textId="51387B0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3.2.1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77FEBBF7" w14:textId="4A61A8B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3.2.2基金托管人发现基金管理人的投资运作及其他运作违反《基金法》、基金合同、本协议及其他有关规定时，应及时以书面形式通知基金管理人限期纠正，基金管理人收到通知后应在下一个工作日及时核对，并以书面形式向基金托管人发出回函，进行解释或举证。</w:t>
      </w:r>
    </w:p>
    <w:p w14:paraId="027DDDBB" w14:textId="5513361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3.2.3在限期内，基金托管人有权随时对通知事项进行复查，督促基金管理人改正。基金管理人对基金托管人通知的违规事项未能在限期内纠正的，基金托管人应报告中国证监会。</w:t>
      </w:r>
    </w:p>
    <w:p w14:paraId="31B01119" w14:textId="7884319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3.2.4基金托管人发现基金管理人的投资指令违反相关法律法规规定或者违反基金合同约定的，应当拒绝执行，立即通知基金管理人。</w:t>
      </w:r>
    </w:p>
    <w:p w14:paraId="4A8CAE78" w14:textId="3502E7F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3.2.5基金托管人发现基金管理人依据交易程序已经生效的投资指令违反法律、行政法规和其他有关规定，或者违反基金合同约定的，应当立即通知基金管理人，并及时向中国证监会报告，基金管理人应依法承担相应责任。</w:t>
      </w:r>
    </w:p>
    <w:p w14:paraId="120E1FE4" w14:textId="776325C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3.2.6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42EA2FB1" w14:textId="5892809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3.2.7基金托管人发现基金管理人有重大违规行为，应立即报告中国证监会，同时通知基金管理人限期纠正。</w:t>
      </w:r>
    </w:p>
    <w:p w14:paraId="2D34662E" w14:textId="3BD89CD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3.2.8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4E40B41F" w14:textId="77777777" w:rsidR="00ED7E69" w:rsidRDefault="00083714">
      <w:pPr>
        <w:pStyle w:val="21"/>
        <w:rPr>
          <w:rFonts w:ascii="仿宋" w:eastAsia="仿宋" w:hAnsi="仿宋"/>
          <w:color w:val="000000"/>
          <w:sz w:val="28"/>
          <w:szCs w:val="28"/>
        </w:rPr>
      </w:pPr>
      <w:bookmarkStart w:id="22" w:name="_Toc296551340"/>
      <w:r>
        <w:rPr>
          <w:rFonts w:ascii="仿宋" w:eastAsia="仿宋" w:hAnsi="仿宋" w:hint="eastAsia"/>
          <w:color w:val="000000"/>
          <w:sz w:val="28"/>
          <w:szCs w:val="28"/>
        </w:rPr>
        <w:t>3.2.9基金管理人应遵守中华人民共和国反洗钱法律法规，不参与涉嫌洗钱、恐怖融资、扩散融资等违法犯罪活动。按照法律法规的要求，主动配合基金托管人客户身份识别与尽职调查，提供真实、准确、完整客户资料，遵守反洗钱与反恐怖融资相关管理规定。对具备合理理由怀疑涉嫌洗钱、恐怖融资的客户，托管人将按照中国人民银行反洗钱监管规定采取必要管控措施。</w:t>
      </w:r>
    </w:p>
    <w:p w14:paraId="234AF90F" w14:textId="77777777" w:rsidR="00ED7E69" w:rsidRDefault="00ED7E69">
      <w:pPr>
        <w:pStyle w:val="1"/>
        <w:rPr>
          <w:rFonts w:ascii="仿宋" w:eastAsia="仿宋" w:hAnsi="仿宋"/>
          <w:bCs/>
          <w:sz w:val="28"/>
          <w:szCs w:val="28"/>
        </w:rPr>
        <w:sectPr w:rsidR="00ED7E69">
          <w:footerReference r:id="rId15" w:type="default"/>
          <w:footerReference r:id="rId16" w:type="first"/>
          <w:pgSz w:h="16840" w:w="11907"/>
          <w:pgMar w:bottom="1134" w:footer="720" w:gutter="0" w:header="720" w:left="1452" w:right="1452" w:top="1361"/>
          <w:cols w:space="720"/>
          <w:docGrid w:linePitch="286"/>
        </w:sectPr>
      </w:pPr>
    </w:p>
    <w:p w14:paraId="0E41683A" w14:textId="694300A1" w:rsidR="00ED7E69" w:rsidRDefault="00083714">
      <w:pPr>
        <w:pStyle w:val="1"/>
        <w:rPr>
          <w:rFonts w:ascii="仿宋" w:eastAsia="仿宋" w:hAnsi="仿宋"/>
          <w:bCs/>
          <w:sz w:val="28"/>
          <w:szCs w:val="28"/>
        </w:rPr>
      </w:pPr>
      <w:bookmarkStart w:id="23" w:name="_Toc187930224"/>
      <w:r>
        <w:rPr>
          <w:rFonts w:ascii="仿宋" w:eastAsia="仿宋" w:hAnsi="仿宋" w:hint="eastAsia"/>
          <w:bCs/>
          <w:sz w:val="28"/>
          <w:szCs w:val="28"/>
        </w:rPr>
        <w:t>第四条 基金管理人对基金托管人的业务核查</w:t>
      </w:r>
      <w:bookmarkEnd w:id="22"/>
      <w:bookmarkEnd w:id="23"/>
    </w:p>
    <w:p w14:paraId="7E484040" w14:textId="478464A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4.1基金管理人对基金托管人履行托管职责情况进行核查，核查事项包括但不限于基金托管人安全保管基金财产、开设基金财产的资金账户（也称“托管账户”、“银行</w:t>
      </w:r>
      <w:r>
        <w:rPr>
          <w:rFonts w:ascii="仿宋" w:eastAsia="仿宋" w:hAnsi="仿宋"/>
          <w:color w:val="000000"/>
          <w:sz w:val="28"/>
          <w:szCs w:val="28"/>
        </w:rPr>
        <w:t>账户</w:t>
      </w:r>
      <w:r>
        <w:rPr>
          <w:rFonts w:ascii="仿宋" w:eastAsia="仿宋" w:hAnsi="仿宋" w:hint="eastAsia"/>
          <w:color w:val="000000"/>
          <w:sz w:val="28"/>
          <w:szCs w:val="28"/>
        </w:rPr>
        <w:t>”）和证券账户等投资所需账户、复核基金管理人计算的基金资产净值和各类基金份额净值、根据基金管理人指令办理清算交收、相关信息披露和监督基金投资运作等行为。</w:t>
      </w:r>
    </w:p>
    <w:p w14:paraId="34D5C685" w14:textId="27088D3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4.2基金管理人发现基金托管人擅自挪用基金财产、未对基金财产实行分账管理、未执行或无故延迟执行基金管理人资金划拨指令、泄露基金投资信息等违反《基金法》、基金合同、本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或未在合理期限内确认的，基金管理人应报告中国证监会。基金管理人有义务要求基金托管人赔偿基金、基金管理人因此所遭受的损失。</w:t>
      </w:r>
    </w:p>
    <w:p w14:paraId="082DAC1E" w14:textId="50B5B54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4.3基金管理人发现基金托管人有重大违规行为，应立即报告中国证监会，同时通知基金托管人限期纠正。</w:t>
      </w:r>
    </w:p>
    <w:p w14:paraId="5B30BF88" w14:textId="1D5B605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4.4基金托管人应积极配合基金管理人的核查行为，包括但不限于：提交相关资料以供基金管理人核查基金财产的完整性和真实性，在规定时间内答复基金管理人并改正。</w:t>
      </w:r>
    </w:p>
    <w:p w14:paraId="7830ACEE" w14:textId="5BB432C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4.5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7E670F35" w14:textId="77777777" w:rsidR="00ED7E69" w:rsidRDefault="00ED7E69">
      <w:pPr>
        <w:pStyle w:val="21"/>
        <w:rPr>
          <w:rFonts w:ascii="仿宋" w:eastAsia="仿宋" w:hAnsi="仿宋"/>
          <w:color w:val="000000"/>
          <w:sz w:val="28"/>
          <w:szCs w:val="28"/>
        </w:rPr>
      </w:pPr>
    </w:p>
    <w:p w14:paraId="52BF620F" w14:textId="77777777" w:rsidR="00ED7E69" w:rsidRDefault="00ED7E69">
      <w:pPr>
        <w:pStyle w:val="1"/>
        <w:rPr>
          <w:rFonts w:ascii="仿宋" w:eastAsia="仿宋" w:hAnsi="仿宋"/>
          <w:bCs/>
          <w:sz w:val="28"/>
          <w:szCs w:val="28"/>
        </w:rPr>
        <w:sectPr w:rsidR="00ED7E69">
          <w:footerReference r:id="rId17" w:type="default"/>
          <w:footerReference r:id="rId18" w:type="first"/>
          <w:pgSz w:h="16840" w:w="11907"/>
          <w:pgMar w:bottom="1134" w:footer="720" w:gutter="0" w:header="720" w:left="1452" w:right="1452" w:top="1361"/>
          <w:cols w:space="720"/>
          <w:docGrid w:linePitch="286"/>
        </w:sectPr>
      </w:pPr>
      <w:bookmarkStart w:id="24" w:name="_Toc296551341"/>
    </w:p>
    <w:p w14:paraId="1321B264" w14:textId="2B0D7DE6" w:rsidR="00ED7E69" w:rsidRDefault="00083714">
      <w:pPr>
        <w:pStyle w:val="1"/>
        <w:rPr>
          <w:rFonts w:ascii="仿宋" w:eastAsia="仿宋" w:hAnsi="仿宋"/>
          <w:bCs/>
          <w:sz w:val="28"/>
          <w:szCs w:val="28"/>
        </w:rPr>
      </w:pPr>
      <w:bookmarkStart w:id="25" w:name="_Toc187930225"/>
      <w:r>
        <w:rPr>
          <w:rFonts w:ascii="仿宋" w:eastAsia="仿宋" w:hAnsi="仿宋" w:hint="eastAsia"/>
          <w:bCs/>
          <w:sz w:val="28"/>
          <w:szCs w:val="28"/>
        </w:rPr>
        <w:t>第五条 基金财产保管</w:t>
      </w:r>
      <w:bookmarkEnd w:id="24"/>
      <w:bookmarkEnd w:id="25"/>
    </w:p>
    <w:p w14:paraId="0EC5711C" w14:textId="20362B7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5.1基金财产保管的原则</w:t>
      </w:r>
    </w:p>
    <w:p w14:paraId="4790FD4A" w14:textId="542ABFE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5.1.1基金财产应独立于基金管理人、基金托管人的固有财产。</w:t>
      </w:r>
    </w:p>
    <w:p w14:paraId="2051C99D" w14:textId="15FF59D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5.1.2基金托管人应安全保管基金财产。除依据法律法规规定、基金合同和本协议约定及基金管理人的正当指令外，不得自行运用、处分、分配基金的任何财产。</w:t>
      </w:r>
    </w:p>
    <w:p w14:paraId="7CB05BAE" w14:textId="3F36126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5.1.3基金托管人按照规定开设基金财产的资金账户、证券账户等投资所需账户。</w:t>
      </w:r>
    </w:p>
    <w:p w14:paraId="14BA25A3" w14:textId="6F528CE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5.1.4基金托管人对所托管的不同基金财产分别设置账户，与基金托管人的其他业务和其他基金的托管业务实行严格的分账管理，确保基金财产的完整与独立。</w:t>
      </w:r>
    </w:p>
    <w:p w14:paraId="4442A8C5" w14:textId="4588307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5.1.5基金托管人根据基金管理人的指令，按照基金合同和本协议的约定保管基金财产，如有特殊情况双方可另行协商解决。</w:t>
      </w:r>
    </w:p>
    <w:p w14:paraId="4C515D24" w14:textId="6339211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5.1.6除依据法律法规和基金合同的规定外，基金托管人不得委托第三人托管基金资产。</w:t>
      </w:r>
    </w:p>
    <w:p w14:paraId="686F042B" w14:textId="21B6DE3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2</w:t>
      </w:r>
      <w:r>
        <w:rPr>
          <w:rFonts w:ascii="仿宋" w:eastAsia="仿宋" w:hAnsi="仿宋" w:hint="eastAsia"/>
          <w:color w:val="000000"/>
          <w:sz w:val="28"/>
          <w:szCs w:val="28"/>
        </w:rPr>
        <w:t>基金的银行账户的开立和管理</w:t>
      </w:r>
    </w:p>
    <w:p w14:paraId="05FFDA83" w14:textId="34B841C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2</w:t>
      </w:r>
      <w:r>
        <w:rPr>
          <w:rFonts w:ascii="仿宋" w:eastAsia="仿宋" w:hAnsi="仿宋" w:hint="eastAsia"/>
          <w:color w:val="000000"/>
          <w:sz w:val="28"/>
          <w:szCs w:val="28"/>
        </w:rPr>
        <w:t>.1基金托管人以本基金的名义在其营业机构开立基金的银行账户，并根据基金管理人合法合规的指令办理资金收付。本基金的银行预留印鉴由基金托管人刻制、保管和使用。</w:t>
      </w:r>
    </w:p>
    <w:p w14:paraId="436E94DA" w14:textId="41764EF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2</w:t>
      </w:r>
      <w:r>
        <w:rPr>
          <w:rFonts w:ascii="仿宋" w:eastAsia="仿宋" w:hAnsi="仿宋" w:hint="eastAsia"/>
          <w:color w:val="000000"/>
          <w:sz w:val="28"/>
          <w:szCs w:val="28"/>
        </w:rPr>
        <w:t>.2基金银行账户的开立和使用，限于满足开展本基金业务的需要。基金托管人和基金管理人不得假借本基金的名义开立任何其他银行账户；亦不得使用基金的任何账户进行本基金业务以外的活动。</w:t>
      </w:r>
    </w:p>
    <w:p w14:paraId="0451510E" w14:textId="72BF715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2</w:t>
      </w:r>
      <w:r>
        <w:rPr>
          <w:rFonts w:ascii="仿宋" w:eastAsia="仿宋" w:hAnsi="仿宋" w:hint="eastAsia"/>
          <w:color w:val="000000"/>
          <w:sz w:val="28"/>
          <w:szCs w:val="28"/>
        </w:rPr>
        <w:t>.3基金银行账户的开立和管理应符合有关法律法规以及银行业监督管理机构的有关规定。</w:t>
      </w:r>
    </w:p>
    <w:p w14:paraId="3E9F421B" w14:textId="356C88E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3</w:t>
      </w:r>
      <w:r>
        <w:rPr>
          <w:rFonts w:ascii="仿宋" w:eastAsia="仿宋" w:hAnsi="仿宋" w:hint="eastAsia"/>
          <w:color w:val="000000"/>
          <w:sz w:val="28"/>
          <w:szCs w:val="28"/>
        </w:rPr>
        <w:t>基金证券账户与证券交易资金账户的开设和管理：</w:t>
      </w:r>
    </w:p>
    <w:p w14:paraId="7EB7CC3D" w14:textId="4F465E3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3</w:t>
      </w:r>
      <w:r>
        <w:rPr>
          <w:rFonts w:ascii="仿宋" w:eastAsia="仿宋" w:hAnsi="仿宋" w:hint="eastAsia"/>
          <w:color w:val="000000"/>
          <w:sz w:val="28"/>
          <w:szCs w:val="28"/>
        </w:rPr>
        <w:t>.1基金托管人以基金托管人和本基金联名的方式在中国证券登记结算有限责任公司上海分公司/深圳分公司开设证券账户。</w:t>
      </w:r>
    </w:p>
    <w:p w14:paraId="6C233678" w14:textId="61B9400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3</w:t>
      </w:r>
      <w:r>
        <w:rPr>
          <w:rFonts w:ascii="仿宋" w:eastAsia="仿宋" w:hAnsi="仿宋" w:hint="eastAsia"/>
          <w:color w:val="000000"/>
          <w:sz w:val="28"/>
          <w:szCs w:val="28"/>
        </w:rPr>
        <w:t>.2基金证券账户的开立和使用，限于满足开展本基金业务的需要。基金托管人和基金管理人不得出借和未经对方同意擅自转让基金的任何证券账户；亦不得使用基金的任何账户进行本基金业务以外的活动。</w:t>
      </w:r>
    </w:p>
    <w:p w14:paraId="1DED929B" w14:textId="342F975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5.3.3基金管理人根据相关法律法规及协议约定在选定的证券经纪机构处为本基金开立证券交易资金账户，用于办理本基金在证券交易所进行证券投资所涉及的资金结算业务。结算备付金和交易保证金的收取按照代理证券买卖的证券经纪机构的规定执行。</w:t>
      </w:r>
    </w:p>
    <w:p w14:paraId="3E1E0546" w14:textId="72A1503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5.3.4基金管理人以本基金名义在基金管理人选择的证券经纪机构营业网点开立证券交易资金账户，并按照该营业网点开户的流程和要求，签订相关的协议。证券交易资金账户与基金托管账户建立第三方存管关系。</w:t>
      </w:r>
    </w:p>
    <w:p w14:paraId="20BD146A"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4</w:t>
      </w:r>
      <w:r>
        <w:rPr>
          <w:rFonts w:ascii="仿宋" w:eastAsia="仿宋" w:hAnsi="仿宋" w:hint="eastAsia"/>
          <w:color w:val="000000"/>
          <w:sz w:val="28"/>
          <w:szCs w:val="28"/>
        </w:rPr>
        <w:t>债券托管账户的开立和管理</w:t>
      </w:r>
    </w:p>
    <w:p w14:paraId="10C4F303" w14:textId="0802386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4</w:t>
      </w:r>
      <w:r>
        <w:rPr>
          <w:rFonts w:ascii="仿宋" w:eastAsia="仿宋" w:hAnsi="仿宋" w:hint="eastAsia"/>
          <w:color w:val="000000"/>
          <w:sz w:val="28"/>
          <w:szCs w:val="28"/>
        </w:rPr>
        <w:t>.1基金合同生效后，基金管理人负责以基金的名义申请并取得进入全国银行间同业拆借市场的交易资格，并代表基金进行交易；基金托管人负责以基金的名义在中央国债登记结算有限责任公司开设银行间债券市场债券托管账户，并由基金托管人负责基金的债券的后台匹配及资金的清算。</w:t>
      </w:r>
    </w:p>
    <w:p w14:paraId="6EAB7F05" w14:textId="5BE94BA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4</w:t>
      </w:r>
      <w:r>
        <w:rPr>
          <w:rFonts w:ascii="仿宋" w:eastAsia="仿宋" w:hAnsi="仿宋" w:hint="eastAsia"/>
          <w:color w:val="000000"/>
          <w:sz w:val="28"/>
          <w:szCs w:val="28"/>
        </w:rPr>
        <w:t>.2基金管理人负责为基金对外签订全国银行间国债市场回购主协议，正本由基金托管人保管，基金管理人保存副本。</w:t>
      </w:r>
    </w:p>
    <w:p w14:paraId="4434E73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5</w:t>
      </w:r>
      <w:r>
        <w:rPr>
          <w:rFonts w:ascii="仿宋" w:eastAsia="仿宋" w:hAnsi="仿宋" w:hint="eastAsia"/>
          <w:color w:val="000000"/>
          <w:sz w:val="28"/>
          <w:szCs w:val="28"/>
        </w:rPr>
        <w:t>其他账户的开设和管理</w:t>
      </w:r>
    </w:p>
    <w:p w14:paraId="3C970152" w14:textId="70CFF7A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在本协议生效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081A868D" w14:textId="755C8AD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6</w:t>
      </w:r>
      <w:r>
        <w:rPr>
          <w:rFonts w:ascii="仿宋" w:eastAsia="仿宋" w:hAnsi="仿宋" w:hint="eastAsia"/>
          <w:color w:val="000000"/>
          <w:sz w:val="28"/>
          <w:szCs w:val="28"/>
        </w:rPr>
        <w:t>基金财产投资的有关实物证券、银行定期存款存单等有价凭证的保管</w:t>
      </w:r>
    </w:p>
    <w:p w14:paraId="7CA887F1" w14:textId="332CA8F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基金财产投资的有关实物证券由基金托管人存放于基金托管人的保管库；其中实物证券也可存入中央国债登记结算有限责任公司、中国证券登记结算有限责任公司上海分公司/深圳分公司、</w:t>
      </w:r>
      <w:r>
        <w:rPr>
          <w:rFonts w:ascii="仿宋" w:eastAsia="仿宋" w:hAnsi="仿宋"/>
          <w:color w:val="000000"/>
          <w:sz w:val="28"/>
          <w:szCs w:val="28"/>
        </w:rPr>
        <w:t>银行间市场清算所股份有限公司</w:t>
      </w:r>
      <w:r>
        <w:rPr>
          <w:rFonts w:ascii="仿宋" w:eastAsia="仿宋" w:hAnsi="仿宋" w:hint="eastAsia"/>
          <w:color w:val="000000"/>
          <w:sz w:val="28"/>
          <w:szCs w:val="28"/>
        </w:rPr>
        <w:t>或票据营业中心的代保管库。实物证券的购买和转让，由基金托管人根据基金管理人的指令办理。属于基金托管人控制下的实物证券等有价凭证在基金托管人保管期间的损坏、灭失，由此产生的责任应由基金托管人承担。基金托管人对基金托管人以外机构实际保管的证券不承担保管责任。</w:t>
      </w:r>
    </w:p>
    <w:p w14:paraId="687415A5" w14:textId="535BD9F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7</w:t>
      </w:r>
      <w:r>
        <w:rPr>
          <w:rFonts w:ascii="仿宋" w:eastAsia="仿宋" w:hAnsi="仿宋" w:hint="eastAsia"/>
          <w:color w:val="000000"/>
          <w:sz w:val="28"/>
          <w:szCs w:val="28"/>
        </w:rPr>
        <w:t>与基金财产有关的重大合同的保管</w:t>
      </w:r>
    </w:p>
    <w:p w14:paraId="486F46C3" w14:textId="6C695BB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与基金财产有关的重大合同的签署，由基金管理人负责。由基金管理人代表基金签署的与基金有关的重大合同的原件分别应由基金托管人、基金管理人保管。合同应存放于基金管理人和基金托管人各自保管，文件保管时间不少于法律法规规定的最低期限。对于无法取得二份以上的正本的，基金管理人应向基金托管人提供加盖授权业务章的合同传真件，未经双方协商或未在合同约定范围内，合同原件不得转移，由基金管理人保管。</w:t>
      </w:r>
    </w:p>
    <w:p w14:paraId="6FFA8F4A" w14:textId="77777777" w:rsidR="00ED7E69" w:rsidRDefault="00083714">
      <w:pPr>
        <w:pStyle w:val="1"/>
        <w:rPr>
          <w:rFonts w:ascii="仿宋" w:eastAsia="仿宋" w:hAnsi="仿宋"/>
          <w:bCs/>
          <w:sz w:val="28"/>
          <w:szCs w:val="28"/>
        </w:rPr>
      </w:pPr>
      <w:bookmarkStart w:id="26" w:name="_Toc296551342"/>
      <w:bookmarkStart w:id="27" w:name="_Toc187930226"/>
      <w:r>
        <w:rPr>
          <w:rFonts w:ascii="仿宋" w:eastAsia="仿宋" w:hAnsi="仿宋" w:hint="eastAsia"/>
          <w:bCs/>
          <w:sz w:val="28"/>
          <w:szCs w:val="28"/>
        </w:rPr>
        <w:t>第六条 指令的发送、确认和执行</w:t>
      </w:r>
      <w:bookmarkEnd w:id="26"/>
      <w:bookmarkEnd w:id="27"/>
    </w:p>
    <w:p w14:paraId="7A57EBA9" w14:textId="20F130F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6.1基金管理人对发送指令人员的书面授权</w:t>
      </w:r>
    </w:p>
    <w:p w14:paraId="19F8B43F" w14:textId="5D0EF92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应向基金托管人提供预留印鉴和被授权人签字样本，事先书面通知（以下简称“授权通知”）基金托管人有权发送指令的人员名单，注明相应的交易权限，并规定基金管理人向基金托管人发送指令时基金托管人确认有权发送人员身份的方法。基金托管人在收到授权通知当日回函向基金管理人确认。基金管理人在收到基金托管人的确认回函之后，授权通知生效。基金管理人和基金托管人对授权文件负有保密义务，其内容不得向被授权人及相关操作人员以外的任何人泄露。</w:t>
      </w:r>
    </w:p>
    <w:p w14:paraId="7527A67B"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6.2指令的内容</w:t>
      </w:r>
    </w:p>
    <w:p w14:paraId="0D2AB579" w14:textId="341A44D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指令是基金管理人在运用基金资产时，向基金托管人发出的资金划拨及其他款项支付的指令。基金管理人发给基金托管人的指令应写明款项事由、支付时间、到账时间、金额、账户等，加盖预留印鉴并由被授权人签字或盖章。</w:t>
      </w:r>
    </w:p>
    <w:p w14:paraId="3A808EF1"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6.3指令的发送、确认和执行的时间和程序</w:t>
      </w:r>
    </w:p>
    <w:p w14:paraId="70F87EED" w14:textId="3D49628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6.3.1指令由“授权通知”确定的有权发送人（以下简称“被授权人”）代表基金管理人用传真的方式或其他基金托管人和基金管理人书面确认过的方式向基金托管人发送。基金管理人有义务在发送指令后及时与基金托管人进行确认，因基金管理人未能及时与基金托管人进行指令确认,致使资金未能及时到账所造成的损失不由基金托管人承担。基金托管人依照“授权通知”规定的方法确认指令有效后，方可执行指令。对于被授权人发出的指令，基金管理人不得否认其效力。基金管理人应按照《基金法》、有关法律法规和基金合同的规定，在其合法的经营权限和交易权限内发送划款指令，发送人应按照其授权权限发送划款指令。基金管理人在发送指令时，应为基金托管人留出执行指令所必需的时间。由基金管理人原因造成的指令传输不及时、未能留出足够划款所需时间，基金托管人没有过错的不承担资金未能及时到账所造成的损失。</w:t>
      </w:r>
    </w:p>
    <w:p w14:paraId="082A3FF7" w14:textId="50B873F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6.3.2基金托管人不负责审查基金管理人发送指令同时提交的其他文件资料的合法性、真实性、完整性和有效性，基金管理人应保证上述文件资料合法、真实、完整和有效。如因基金管理人提供的上述文件不合法、不真实、不完整或失去效力而给任何第三人带来损失，基金托管人没有过错的不承担责任。</w:t>
      </w:r>
    </w:p>
    <w:p w14:paraId="57E48F91" w14:textId="4C14396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6.3.3基金托管人应指定专人接收基金管理人的指令，预先通知基金管理人其名单，并与基金管理人商定指令发送和接收方式。基金托管人收到基金管理人发送的指令后，应立即审慎验证有关内容及印鉴和签名，复核无误后应在规定期限内执行，不得延误。</w:t>
      </w:r>
    </w:p>
    <w:p w14:paraId="76648749" w14:textId="351622A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6.3.4基金管理人向基金托管人下达指令时，应确保基金银行账户有足够的资金余额，对基金管理人在没有充足资金的情况下向基金托管人发出的指令，基金托管人可不予执行，并立即通知基金管理人，基金托管人没有过错的不承担因为不执行该指令而造成损失的责任。</w:t>
      </w:r>
    </w:p>
    <w:p w14:paraId="09A70504" w14:textId="0D9A243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6.3.5基金管理人应将同业市场国债交易通知单加盖印章后传真给基金托管人。</w:t>
      </w:r>
    </w:p>
    <w:p w14:paraId="677829EA" w14:textId="6D6BEC0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6.4基金管理人发送错误指令的情形和处理程序</w:t>
      </w:r>
    </w:p>
    <w:p w14:paraId="07ECF072" w14:textId="53B8FDE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6.4.1基金管理人发送错误指令的情形包括指令违反相关法律法规或基金合同、指令发送人员无权或超越权限发送指令及交割信息错误，指令中重要信息模糊不清或不全等。</w:t>
      </w:r>
    </w:p>
    <w:p w14:paraId="27D0F140" w14:textId="0CC6A55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6.4.2基金托管人在履行监督职能时，发现基金管理人的指令错误时，应当拒绝执行，并及时通知基金管理人改正。</w:t>
      </w:r>
    </w:p>
    <w:p w14:paraId="15C3E1B2" w14:textId="3BC0E3A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6.5基金托管人依照法律法规暂缓、拒绝执行指令的情形和处理程序</w:t>
      </w:r>
    </w:p>
    <w:p w14:paraId="16B61B0B" w14:textId="10C6750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托管人发现基金管理人发送的指令违反《基金法》、基金合同、本协议或有关基金法规的有关规定，应当不予执行，并应及时以书面形式通知基金管理人纠正，基金托管人没有过错的不承担损失和责任。对基金管理人更正并重新发送后的指令经基金托管人核对确认后方能执行。</w:t>
      </w:r>
    </w:p>
    <w:p w14:paraId="6338435F" w14:textId="2124EF2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6.6基金托管人未按照基金管理人指令执行的处理方法</w:t>
      </w:r>
    </w:p>
    <w:p w14:paraId="007D6D35" w14:textId="5FAA547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托管人由于自身原因造成未按照或者未及时按照基金管理人发送的符合法律法规规定以及基金合同约定的指令执行，应在发现后及时采取措施予以补救。给基金份额持有人、基金管理人造成损失的，应负赔偿责任。</w:t>
      </w:r>
    </w:p>
    <w:p w14:paraId="66D327A0"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6.7更换被授权人的程序</w:t>
      </w:r>
    </w:p>
    <w:p w14:paraId="4DA406C2" w14:textId="1A9E8E1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撤换被授权人员或改变被授权人员的权限，必须提前至少1个交易日，使用传真向基金托管人发出由基金管理人签字和盖章的被授权人变更通知，同时电话通知基金托管人，基金托管人收到变更通知当日将回函书面传真基金管理人并通过电话向基金管理人确认。被授权人变更通知，自基金管理人收到基金托管人以传真形式发出的回函确认时开始生效。基金管理人在此后5日内将被授权人变更通知的正本送交基金托管人。被授权人变更通知的正本应与传真内容一致，若有不一致的，以基金托管人收到的传真件为准。基金管理人更换被授权人通知生效后，对于已被撤换的人员无权发送的指令，或被改变授权人员超权限发送的指令，基金管理人没有过错的不承担责任。</w:t>
      </w:r>
    </w:p>
    <w:p w14:paraId="28A4196B" w14:textId="77777777" w:rsidR="00ED7E69" w:rsidRDefault="00ED7E69">
      <w:pPr>
        <w:pStyle w:val="21"/>
        <w:rPr>
          <w:rFonts w:ascii="仿宋" w:eastAsia="仿宋" w:hAnsi="仿宋"/>
          <w:color w:val="000000"/>
          <w:sz w:val="28"/>
          <w:szCs w:val="28"/>
        </w:rPr>
      </w:pPr>
    </w:p>
    <w:p w14:paraId="3A6FE8A6" w14:textId="77777777" w:rsidR="00ED7E69" w:rsidRDefault="00ED7E69">
      <w:pPr>
        <w:pStyle w:val="1"/>
        <w:rPr>
          <w:rFonts w:ascii="仿宋" w:eastAsia="仿宋" w:hAnsi="仿宋"/>
          <w:bCs/>
          <w:sz w:val="28"/>
          <w:szCs w:val="28"/>
        </w:rPr>
        <w:sectPr w:rsidR="00ED7E69">
          <w:footerReference r:id="rId19" w:type="default"/>
          <w:footerReference r:id="rId20" w:type="first"/>
          <w:pgSz w:h="16840" w:w="11907"/>
          <w:pgMar w:bottom="1134" w:footer="720" w:gutter="0" w:header="720" w:left="1452" w:right="1452" w:top="1361"/>
          <w:cols w:space="720"/>
          <w:docGrid w:linePitch="286"/>
        </w:sectPr>
      </w:pPr>
      <w:bookmarkStart w:id="28" w:name="_Toc296551343"/>
    </w:p>
    <w:p w14:paraId="723D0CC8" w14:textId="77777777" w:rsidR="00ED7E69" w:rsidRDefault="00083714">
      <w:pPr>
        <w:pStyle w:val="1"/>
        <w:rPr>
          <w:rFonts w:ascii="仿宋" w:eastAsia="仿宋" w:hAnsi="仿宋"/>
          <w:bCs/>
          <w:sz w:val="28"/>
          <w:szCs w:val="28"/>
        </w:rPr>
      </w:pPr>
      <w:bookmarkStart w:id="29" w:name="_Toc187930227"/>
      <w:r>
        <w:rPr>
          <w:rFonts w:ascii="仿宋" w:eastAsia="仿宋" w:hAnsi="仿宋" w:hint="eastAsia"/>
          <w:bCs/>
          <w:sz w:val="28"/>
          <w:szCs w:val="28"/>
        </w:rPr>
        <w:t>第七条 交易及清算交收安排</w:t>
      </w:r>
      <w:bookmarkEnd w:id="28"/>
      <w:bookmarkEnd w:id="29"/>
    </w:p>
    <w:p w14:paraId="2B2044C0" w14:textId="4FBE986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7.1选择代理证券、</w:t>
      </w:r>
      <w:r>
        <w:rPr>
          <w:rFonts w:ascii="仿宋" w:eastAsia="仿宋" w:hAnsi="仿宋"/>
          <w:color w:val="000000"/>
          <w:sz w:val="28"/>
          <w:szCs w:val="28"/>
        </w:rPr>
        <w:t>期货</w:t>
      </w:r>
      <w:r>
        <w:rPr>
          <w:rFonts w:ascii="仿宋" w:eastAsia="仿宋" w:hAnsi="仿宋" w:hint="eastAsia"/>
          <w:color w:val="000000"/>
          <w:sz w:val="28"/>
          <w:szCs w:val="28"/>
        </w:rPr>
        <w:t>买卖的证券、</w:t>
      </w:r>
      <w:r>
        <w:rPr>
          <w:rFonts w:ascii="仿宋" w:eastAsia="仿宋" w:hAnsi="仿宋"/>
          <w:color w:val="000000"/>
          <w:sz w:val="28"/>
          <w:szCs w:val="28"/>
        </w:rPr>
        <w:t>期货</w:t>
      </w:r>
      <w:r>
        <w:rPr>
          <w:rFonts w:ascii="仿宋" w:eastAsia="仿宋" w:hAnsi="仿宋" w:hint="eastAsia"/>
          <w:color w:val="000000"/>
          <w:sz w:val="28"/>
          <w:szCs w:val="28"/>
        </w:rPr>
        <w:t>经纪机构</w:t>
      </w:r>
    </w:p>
    <w:p w14:paraId="0FFA4967" w14:textId="5E4236C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7.1.1基金管理人负责选择代理本基金财产证券买卖的证券经纪机构，并与其签订证券经纪合同，基金管理人、基金托管人和证券经纪机构就基金参与证券交易的具体事项另行签订协议，明确三方在本基金参与场内证券买卖中各类证券交易、证券交收及相关资金交收过程中的职责和义务。</w:t>
      </w:r>
    </w:p>
    <w:p w14:paraId="0FDEAB1E" w14:textId="42B8166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7.1.2基金管理人应及时将本基金财产的佣金费率等基本信息以及变更情况及时以书面形式通知基金托管人，以便基金托管人估值核算使用。</w:t>
      </w:r>
    </w:p>
    <w:p w14:paraId="6C57684D" w14:textId="3512891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7.1.3基金管理人负责选择代理本基金期货交易的期货经纪机构，并与其签订期货经纪合同，相关事宜根据法律法规、基金合同的相关规定执行， 若无明确规定的，可参照有关证券买卖、证券经纪机构选择的规则执行。</w:t>
      </w:r>
    </w:p>
    <w:p w14:paraId="704939F8" w14:textId="232151F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7.2基金投资证券后的清算交收安排</w:t>
      </w:r>
    </w:p>
    <w:p w14:paraId="4441E3CB" w14:textId="5052C6E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7.2.1基金投资证券后的清算交收安排</w:t>
      </w:r>
    </w:p>
    <w:p w14:paraId="2ECCB099" w14:textId="6F48F8C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本基金通过证券经纪机构进行的交易由证券经纪机构作为结算参与人代理本基金进行结算。</w:t>
      </w:r>
    </w:p>
    <w:p w14:paraId="7D9FACDA"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7.2.2证券交易所证券资金结算</w:t>
      </w:r>
    </w:p>
    <w:p w14:paraId="71B72E23" w14:textId="47BF86D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基金托管人、基金管理人应共同遵守中登公司制定的相关业务规则和规定，该等规则和规定自动成为本条款约定内容。</w:t>
      </w:r>
    </w:p>
    <w:p w14:paraId="1B71FA2A" w14:textId="19A403A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基金管理人在投资前，应充分知晓与理解中登公司针对各类交易品种制定的结算业务规则和规定。</w:t>
      </w:r>
    </w:p>
    <w:p w14:paraId="7E96E410" w14:textId="38B0BDC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证券经纪机构代理本基金财产与中登公司完成证券交易及非交易涉及的证券资金结算业务，并承担由证券经纪机构原因造成的正常结算、交收业务无法完成的责任；若由于基金管理人原因造成的正常结算业务无法完成，责任由基金管理人承担。</w:t>
      </w:r>
    </w:p>
    <w:p w14:paraId="7DB82C99"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对于任何原因发生的证券资金交收违约事件，相关各方应当及时协商解决。</w:t>
      </w:r>
    </w:p>
    <w:p w14:paraId="1D93F44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7.2.3期货的清算交收安排</w:t>
      </w:r>
    </w:p>
    <w:p w14:paraId="500F03A9" w14:textId="31D1FE5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本基金投资于期货发生的资金交割清算由基金管理人选定的期货经纪公司负责办理，基金托管人对由于期货交易所期货保证金制度和清算交割的需要而存放在期货经纪公司的资金不行使保管职责和交收职责，基金管理人应在期货经纪协议或其它协议中约定选定的期货经纪公司承担资金安全保管责任和交收责任。</w:t>
      </w:r>
    </w:p>
    <w:p w14:paraId="6B0C4940"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7.2.4其它场外交易资金结算</w:t>
      </w:r>
    </w:p>
    <w:p w14:paraId="51631ACE" w14:textId="70ACDA0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场外资金对外投资划款由基金托管人凭基金管理人符合本托管协议约定的有效资金划拨指令和相关投资合同（如有）进行资金划拨；场外投资本金及收益的划回，由基金管理人负责协调相关资金划拨会回基金托管户事宜。</w:t>
      </w:r>
    </w:p>
    <w:p w14:paraId="620822BB"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7.3资金、证券账目及交易记录的核对</w:t>
      </w:r>
    </w:p>
    <w:p w14:paraId="6D294E3A" w14:textId="29B8381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7.3.1基金管理人与基金托管人按日进行交易记录的核对。对外披露基金份额净值之前，必须保证当天所有实际交易记录与基金会计账簿上的交易记录完全一致。如果实际交易记录与会计账簿记录不一致，造成基金会计核算不完整或不真实，由此导致的损失由责任方承担。</w:t>
      </w:r>
    </w:p>
    <w:p w14:paraId="64AAEF4B" w14:textId="642A5C0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7.3.2对基金的资金账目，由相关各方每日对账一次，确保相关各方账账相符。对基金证券账目，由相关各方每日进行对账。对实物券账目，每月月末由相关各方进行账实核对。对交易记录，由相关各方每日对账一次。</w:t>
      </w:r>
    </w:p>
    <w:p w14:paraId="0CAB0390" w14:textId="4819089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7.4申购、赎回、转换开放式基金的资金清算、数据传递及托管协议当事人的责任</w:t>
      </w:r>
    </w:p>
    <w:p w14:paraId="17B473B2" w14:textId="036AEAA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7.4.1托管协议当事人在基金的申购赎回、转换中的责任</w:t>
      </w:r>
    </w:p>
    <w:p w14:paraId="00C738FA" w14:textId="681C153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投资人可通过基金管理人的直销中心和销售机构的销售网点进行申购和赎回申请，基金份额申购、赎回的确认、清算由基金管理人或其委托的登记机构负责。基金托管人负责接收并确认资金的到账情况，以及依照基金管理人的投资指令来划付赎回款项。</w:t>
      </w:r>
    </w:p>
    <w:p w14:paraId="75E182F8" w14:textId="1865FE4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7.4.2基金的数据传递</w:t>
      </w:r>
    </w:p>
    <w:p w14:paraId="676A4E1E" w14:textId="394AB42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基金管理人应保证本基金（或本基金管理人委托）的登记机构于每个开放日15：00之前将本基金的申购、赎回、转换的数据传送给基金托管人。基金管理人应对传递的数据的真实性、准确性和完整性负责。</w:t>
      </w:r>
    </w:p>
    <w:p w14:paraId="7443BB2C" w14:textId="5DC83B5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登记机构应通过与基金管理人建立的系统发送有关数据，如因各种原因，该系统无法正常发送，双方可协商解决处理方式。</w:t>
      </w:r>
    </w:p>
    <w:p w14:paraId="657084DD" w14:textId="6599199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7.4.3基金的资金清算</w:t>
      </w:r>
    </w:p>
    <w:p w14:paraId="28A5F21F" w14:textId="175E7F5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基金托管账户与“基金清算账户”间的资金结算遵循“全额清算、净额交收”的原则，每日按照托管账户应收资金与应付资金的差额来确定托管账户净应收额或净应付额，以此确定资金交收额。</w:t>
      </w:r>
    </w:p>
    <w:p w14:paraId="01464EF4" w14:textId="2740011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如果当日基金为净应付款，基金托管人应根据基金管理人的指令在中午12:00前进行划付。对于未准时划付的资金，基金管理人应及时通知基金托管人划付。因基金托管专户没有足够的资金，导致基金托管人不能按时拨付，基金托管人应及时通知基金管理人，不能按时划拨导致的任何第三方的损失，基金托管人没有过错的不承担责任。</w:t>
      </w:r>
    </w:p>
    <w:p w14:paraId="014FA942" w14:textId="77777777" w:rsidR="00ED7E69" w:rsidRDefault="00ED7E69">
      <w:pPr>
        <w:pStyle w:val="21"/>
        <w:rPr>
          <w:rFonts w:ascii="仿宋" w:eastAsia="仿宋" w:hAnsi="仿宋"/>
          <w:color w:val="000000"/>
          <w:sz w:val="28"/>
          <w:szCs w:val="28"/>
        </w:rPr>
      </w:pPr>
    </w:p>
    <w:p w14:paraId="681CE872" w14:textId="77777777" w:rsidR="00ED7E69" w:rsidRDefault="00ED7E69">
      <w:pPr>
        <w:pStyle w:val="1"/>
        <w:rPr>
          <w:rFonts w:ascii="仿宋" w:eastAsia="仿宋" w:hAnsi="仿宋"/>
          <w:bCs/>
          <w:sz w:val="28"/>
          <w:szCs w:val="28"/>
        </w:rPr>
        <w:sectPr w:rsidR="00ED7E69">
          <w:footerReference r:id="rId21" w:type="default"/>
          <w:footerReference r:id="rId22" w:type="first"/>
          <w:pgSz w:h="16840" w:w="11907"/>
          <w:pgMar w:bottom="1134" w:footer="720" w:gutter="0" w:header="720" w:left="1452" w:right="1452" w:top="1361"/>
          <w:cols w:space="720"/>
          <w:docGrid w:linePitch="286"/>
        </w:sectPr>
      </w:pPr>
      <w:bookmarkStart w:id="30" w:name="_Toc296551344"/>
    </w:p>
    <w:p w14:paraId="380E4DD8" w14:textId="5D7668FB" w:rsidR="00ED7E69" w:rsidRDefault="00083714">
      <w:pPr>
        <w:pStyle w:val="1"/>
        <w:rPr>
          <w:rFonts w:ascii="仿宋" w:eastAsia="仿宋" w:hAnsi="仿宋"/>
          <w:bCs/>
          <w:sz w:val="28"/>
          <w:szCs w:val="28"/>
        </w:rPr>
      </w:pPr>
      <w:bookmarkStart w:id="31" w:name="_Toc187930228"/>
      <w:r>
        <w:rPr>
          <w:rFonts w:ascii="仿宋" w:eastAsia="仿宋" w:hAnsi="仿宋" w:hint="eastAsia"/>
          <w:bCs/>
          <w:sz w:val="28"/>
          <w:szCs w:val="28"/>
        </w:rPr>
        <w:t>第八条 基金资产净值计算和会计核算</w:t>
      </w:r>
      <w:bookmarkEnd w:id="30"/>
      <w:bookmarkEnd w:id="31"/>
    </w:p>
    <w:p w14:paraId="17CD1C55" w14:textId="6C64E9D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8.1基金资产净值的计算、复核的时间和程序</w:t>
      </w:r>
    </w:p>
    <w:p w14:paraId="32C49995" w14:textId="26711AB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8.1.1基金资产净值是指基金资产总值减去负债后的净资产值。各类基金份额净值是按照每个工作日闭市后，</w:t>
      </w:r>
      <w:r w:rsidR="00E22153">
        <w:rPr>
          <w:rFonts w:ascii="仿宋" w:eastAsia="仿宋" w:hAnsi="仿宋" w:hint="eastAsia"/>
          <w:color w:val="000000"/>
          <w:sz w:val="28"/>
          <w:szCs w:val="28"/>
        </w:rPr>
        <w:t>各</w:t>
      </w:r>
      <w:r>
        <w:rPr>
          <w:rFonts w:ascii="仿宋" w:eastAsia="仿宋" w:hAnsi="仿宋" w:hint="eastAsia"/>
          <w:color w:val="000000"/>
          <w:sz w:val="28"/>
          <w:szCs w:val="28"/>
        </w:rPr>
        <w:t>类基金资产净值除以当日该类基金份额的余额数量计算，均精确到</w:t>
      </w:r>
      <w:r>
        <w:rPr>
          <w:rFonts w:ascii="仿宋" w:eastAsia="仿宋" w:hAnsi="仿宋"/>
          <w:color w:val="000000"/>
          <w:sz w:val="28"/>
          <w:szCs w:val="28"/>
        </w:rPr>
        <w:t>0.0001元</w:t>
      </w:r>
      <w:r>
        <w:rPr>
          <w:rFonts w:ascii="仿宋" w:eastAsia="仿宋" w:hAnsi="仿宋" w:hint="eastAsia"/>
          <w:color w:val="000000"/>
          <w:sz w:val="28"/>
          <w:szCs w:val="28"/>
        </w:rPr>
        <w:t>，小数点后第5位四舍五入，由此产生的误差计入基金财产。基金管理人可以设立大额赎回情形下的净值精度应急调整机制。国家另有规定的，从其规定。</w:t>
      </w:r>
    </w:p>
    <w:p w14:paraId="3B44C584" w14:textId="5B3C417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8.1.2基金管理人应每个工作日对基金资产估值，但基金管理人根据法律法规或基金合同的规定暂停估值时除外。估值原则应符合基金合同、《企业会计准则》及其他法律、法规的规定。基金净值信息由基金管理人负责计算，基金托管人复核。基金管理人应于每个工作日交易结束后计算当日的</w:t>
      </w:r>
      <w:r w:rsidR="00E22153" w:rsidRPr="00E22153">
        <w:rPr>
          <w:rFonts w:ascii="仿宋" w:eastAsia="仿宋" w:hAnsi="仿宋" w:hint="eastAsia"/>
          <w:color w:val="000000"/>
          <w:sz w:val="28"/>
          <w:szCs w:val="28"/>
        </w:rPr>
        <w:t>基金资产净值和各类</w:t>
      </w:r>
      <w:r>
        <w:rPr>
          <w:rFonts w:ascii="仿宋" w:eastAsia="仿宋" w:hAnsi="仿宋" w:hint="eastAsia"/>
          <w:color w:val="000000"/>
          <w:sz w:val="28"/>
          <w:szCs w:val="28"/>
        </w:rPr>
        <w:t>基金份额净值并以双方认可的方式发送给基金托管人。基金托管人对净值计算结果复核后以双方认可的方式发送给基金管理人，由基金管理人按约定对基金净值予以公布。</w:t>
      </w:r>
    </w:p>
    <w:p w14:paraId="585A315E" w14:textId="70E2C59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8.1.3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信息的计算结果对外予以公布。</w:t>
      </w:r>
    </w:p>
    <w:p w14:paraId="1724C9E1" w14:textId="46C2866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8.2基金资产估值方法</w:t>
      </w:r>
    </w:p>
    <w:p w14:paraId="79617156"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8.2.1估值对象</w:t>
      </w:r>
    </w:p>
    <w:p w14:paraId="2A45DDB7" w14:textId="2FAAC36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基金所拥有的股票、金融衍生工具、债券、银行存款本息、应收款项、其它投资等资产及负债。</w:t>
      </w:r>
    </w:p>
    <w:p w14:paraId="5557777E" w14:textId="77777777" w:rsidR="00ED7E69" w:rsidRDefault="00083714">
      <w:pPr>
        <w:pStyle w:val="21"/>
        <w:rPr>
          <w:rFonts w:ascii="仿宋" w:eastAsia="仿宋" w:hAnsi="仿宋"/>
          <w:color w:val="000000"/>
          <w:sz w:val="28"/>
          <w:szCs w:val="28"/>
        </w:rPr>
      </w:pPr>
      <w:bookmarkStart w:id="32" w:name="_Hlk187767713"/>
      <w:r>
        <w:rPr>
          <w:rFonts w:ascii="仿宋" w:eastAsia="仿宋" w:hAnsi="仿宋"/>
          <w:color w:val="000000"/>
          <w:sz w:val="28"/>
          <w:szCs w:val="28"/>
        </w:rPr>
        <w:t>8.2.2估值方法</w:t>
      </w:r>
    </w:p>
    <w:p w14:paraId="178FF79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（1）证券交易所上市的有价证券的估值</w:t>
      </w:r>
    </w:p>
    <w:p w14:paraId="091A1508"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8A577B9"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2）交易所上市交易或挂牌转让的不含权固定收益品种，选取估值日第三方估值机构提供的相应品种当日的估值全价进行估值。</w:t>
      </w:r>
    </w:p>
    <w:p w14:paraId="0EEEC74E"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3）交易所上市交易或挂牌转让的含权固定收益品种，选取估值日第三方估值机构提供的相应品种当日的唯一估值全价或推荐估值全价进行估值。</w:t>
      </w:r>
    </w:p>
    <w:p w14:paraId="7960BFAB"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4）交易所上市交易的公开发行的可转换债券等有活跃市场的含转股权的债券，实行全价交易的债券以估值日收盘价作为估值全价；实行净价交易的债券以估值日收盘价并加计每百元税前应计利息作为估值全价。</w:t>
      </w:r>
    </w:p>
    <w:p w14:paraId="0FA5F624"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5）交易所上市不存在活跃市场的有价证券，采用估值技术确定公允价值。交易所市场挂牌转让的资产支持证券，采用估值技术确定公允价值。</w:t>
      </w:r>
    </w:p>
    <w:p w14:paraId="6CE06FA8"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7928832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2</w:t>
      </w:r>
      <w:r>
        <w:rPr>
          <w:rFonts w:ascii="仿宋" w:eastAsia="仿宋" w:hAnsi="仿宋" w:hint="eastAsia"/>
          <w:color w:val="000000"/>
          <w:sz w:val="28"/>
          <w:szCs w:val="28"/>
        </w:rPr>
        <w:t>）处于未上市期间的有价证券应区分如下情况处理：</w:t>
      </w:r>
    </w:p>
    <w:p w14:paraId="223C6A94"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1）送股、转增股、配股和公开增发的新股，按估值日在证券交易所挂牌的同一股票的估值方法估值；该日无交易的，以最近一日的市价（收盘价）估值。</w:t>
      </w:r>
    </w:p>
    <w:p w14:paraId="02D1698A"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2）首次公开发行未上市的股票、债券，采用估值技术确定公允价值。</w:t>
      </w:r>
    </w:p>
    <w:p w14:paraId="36CA8855"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64CB9BB5" w14:textId="77777777" w:rsidR="006234DF"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3</w:t>
      </w:r>
      <w:r>
        <w:rPr>
          <w:rFonts w:ascii="仿宋" w:eastAsia="仿宋" w:hAnsi="仿宋" w:hint="eastAsia"/>
          <w:color w:val="000000"/>
          <w:sz w:val="28"/>
          <w:szCs w:val="28"/>
        </w:rPr>
        <w:t>）对全国银行间市场上不含权的固定收益品种，按照第三方估值机构提供的相应品种当日的估值全价估值。对银行间市场上含权的固定收益品种，按照第三方估值机构提供的相应品种当日的唯一估值全价或推荐估值全价估值。对于未上市或未挂牌转让且不存在活跃市场的固定收益品种，采用估值技术确定其公允价值。</w:t>
      </w:r>
    </w:p>
    <w:p w14:paraId="12DCFD60" w14:textId="297EF3BE" w:rsidR="00ED7E69" w:rsidRDefault="006234DF">
      <w:pPr>
        <w:pStyle w:val="21"/>
        <w:rPr>
          <w:rFonts w:ascii="仿宋" w:eastAsia="仿宋" w:hAnsi="仿宋"/>
          <w:color w:val="000000"/>
          <w:sz w:val="28"/>
          <w:szCs w:val="28"/>
        </w:rPr>
      </w:pPr>
      <w:r>
        <w:rPr>
          <w:rFonts w:ascii="仿宋" w:eastAsia="仿宋" w:hAnsi="仿宋" w:hint="eastAsia"/>
          <w:color w:val="000000"/>
          <w:sz w:val="28"/>
          <w:szCs w:val="28"/>
        </w:rPr>
        <w:t>（4）对于含投资人回售权的固定收益品种，行使回售权的，在回售登记日至实际收款日期间采用第三方估值机构提供的相应品种的唯一估值全价或推荐估值全价估值。回售登记截止日（含当日）后未行使回售权的按照长待偿期所对应的价格进行估值。</w:t>
      </w:r>
    </w:p>
    <w:p w14:paraId="42F103D9" w14:textId="469CDE1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sidR="006234DF">
        <w:rPr>
          <w:rFonts w:ascii="仿宋" w:eastAsia="仿宋" w:hAnsi="仿宋"/>
          <w:color w:val="000000"/>
          <w:sz w:val="28"/>
          <w:szCs w:val="28"/>
        </w:rPr>
        <w:t>5</w:t>
      </w:r>
      <w:r>
        <w:rPr>
          <w:rFonts w:ascii="仿宋" w:eastAsia="仿宋" w:hAnsi="仿宋" w:hint="eastAsia"/>
          <w:color w:val="000000"/>
          <w:sz w:val="28"/>
          <w:szCs w:val="28"/>
        </w:rPr>
        <w:t>）人民币对主要外汇的汇率应当以估值日中国人民银行或其授权机构公布的人民币汇率中间价为准。若本基金现行估值汇率不再发布或发生重大变更，或市场上出现更为公允、更适合本基金的估值汇率时，基金管理人与基金托管人协商一致后可根据实际情况调整本基金的估值汇率，并及时公告，无需召开基金份额持有人大会。</w:t>
      </w:r>
    </w:p>
    <w:p w14:paraId="332D699C" w14:textId="1943AAA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sidR="006234DF">
        <w:rPr>
          <w:rFonts w:ascii="仿宋" w:eastAsia="仿宋" w:hAnsi="仿宋"/>
          <w:color w:val="000000"/>
          <w:sz w:val="28"/>
          <w:szCs w:val="28"/>
        </w:rPr>
        <w:t>6</w:t>
      </w:r>
      <w:r>
        <w:rPr>
          <w:rFonts w:ascii="仿宋" w:eastAsia="仿宋" w:hAnsi="仿宋" w:hint="eastAsia"/>
          <w:color w:val="000000"/>
          <w:sz w:val="28"/>
          <w:szCs w:val="28"/>
        </w:rPr>
        <w:t>）本基金投资股指期货、国债期货等衍生品种合约，一般以估值当日结算价进行估值，估值当日无结算价的，且最近交易日后经济环境未发生重大变化的，采用最近交易日结算价估值。</w:t>
      </w:r>
    </w:p>
    <w:p w14:paraId="70394DFA" w14:textId="6645CD3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sidR="006234DF">
        <w:rPr>
          <w:rFonts w:ascii="仿宋" w:eastAsia="仿宋" w:hAnsi="仿宋"/>
          <w:color w:val="000000"/>
          <w:sz w:val="28"/>
          <w:szCs w:val="28"/>
        </w:rPr>
        <w:t>7</w:t>
      </w:r>
      <w:r>
        <w:rPr>
          <w:rFonts w:ascii="仿宋" w:eastAsia="仿宋" w:hAnsi="仿宋" w:hint="eastAsia"/>
          <w:color w:val="000000"/>
          <w:sz w:val="28"/>
          <w:szCs w:val="28"/>
        </w:rPr>
        <w:t>）本基金投资股票期权，根据相关法律法规以及监管部门的规定估值。</w:t>
      </w:r>
    </w:p>
    <w:p w14:paraId="61715486" w14:textId="7336E2F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sidR="006234DF">
        <w:rPr>
          <w:rFonts w:ascii="仿宋" w:eastAsia="仿宋" w:hAnsi="仿宋"/>
          <w:color w:val="000000"/>
          <w:sz w:val="28"/>
          <w:szCs w:val="28"/>
        </w:rPr>
        <w:t>8</w:t>
      </w:r>
      <w:r>
        <w:rPr>
          <w:rFonts w:ascii="仿宋" w:eastAsia="仿宋" w:hAnsi="仿宋" w:hint="eastAsia"/>
          <w:color w:val="000000"/>
          <w:sz w:val="28"/>
          <w:szCs w:val="28"/>
        </w:rPr>
        <w:t>）本基金投资存托凭证的估值核算依照境内上市交易的股票执行。</w:t>
      </w:r>
    </w:p>
    <w:p w14:paraId="53C47750" w14:textId="61AE9D4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sidR="006234DF">
        <w:rPr>
          <w:rFonts w:ascii="仿宋" w:eastAsia="仿宋" w:hAnsi="仿宋"/>
          <w:color w:val="000000"/>
          <w:sz w:val="28"/>
          <w:szCs w:val="28"/>
        </w:rPr>
        <w:t>9</w:t>
      </w:r>
      <w:r>
        <w:rPr>
          <w:rFonts w:ascii="仿宋" w:eastAsia="仿宋" w:hAnsi="仿宋" w:hint="eastAsia"/>
          <w:color w:val="000000"/>
          <w:sz w:val="28"/>
          <w:szCs w:val="28"/>
        </w:rPr>
        <w:t>）同一证券同时在两个或两个以上市场交易的，按证券所处的市场分别估值。</w:t>
      </w:r>
    </w:p>
    <w:p w14:paraId="332221B6" w14:textId="2FA7A88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sidR="006234DF">
        <w:rPr>
          <w:rFonts w:ascii="仿宋" w:eastAsia="仿宋" w:hAnsi="仿宋"/>
          <w:color w:val="000000"/>
          <w:sz w:val="28"/>
          <w:szCs w:val="28"/>
        </w:rPr>
        <w:t>10</w:t>
      </w:r>
      <w:r>
        <w:rPr>
          <w:rFonts w:ascii="仿宋" w:eastAsia="仿宋" w:hAnsi="仿宋" w:hint="eastAsia"/>
          <w:color w:val="000000"/>
          <w:sz w:val="28"/>
          <w:szCs w:val="28"/>
        </w:rPr>
        <w:t>）本基金参与融资业务的，按照相关法律法规、监管部门和行业协会的相关规定进行估值。</w:t>
      </w:r>
    </w:p>
    <w:p w14:paraId="3F74214D" w14:textId="53D3A9B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w:t>
      </w:r>
      <w:r w:rsidR="006234DF">
        <w:rPr>
          <w:rFonts w:ascii="仿宋" w:eastAsia="仿宋" w:hAnsi="仿宋"/>
          <w:color w:val="000000"/>
          <w:sz w:val="28"/>
          <w:szCs w:val="28"/>
        </w:rPr>
        <w:t>1</w:t>
      </w:r>
      <w:r>
        <w:rPr>
          <w:rFonts w:ascii="仿宋" w:eastAsia="仿宋" w:hAnsi="仿宋" w:hint="eastAsia"/>
          <w:color w:val="000000"/>
          <w:sz w:val="28"/>
          <w:szCs w:val="28"/>
        </w:rPr>
        <w:t>）本基金可以采用第三方估值机构按照上述公允价值确定原则提供的估值价格数据。</w:t>
      </w:r>
    </w:p>
    <w:p w14:paraId="652E6D2C" w14:textId="4BF9E03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w:t>
      </w:r>
      <w:r w:rsidR="006234DF">
        <w:rPr>
          <w:rFonts w:ascii="仿宋" w:eastAsia="仿宋" w:hAnsi="仿宋"/>
          <w:color w:val="000000"/>
          <w:sz w:val="28"/>
          <w:szCs w:val="28"/>
        </w:rPr>
        <w:t>2</w:t>
      </w:r>
      <w:r>
        <w:rPr>
          <w:rFonts w:ascii="仿宋" w:eastAsia="仿宋" w:hAnsi="仿宋" w:hint="eastAsia"/>
          <w:color w:val="000000"/>
          <w:sz w:val="28"/>
          <w:szCs w:val="28"/>
        </w:rPr>
        <w:t>）上述第三方估值机构提供的估值全价指第三方估值机构直接提供的估值全价或第三方估值机构提供的估值净价加每百元应计利息。</w:t>
      </w:r>
    </w:p>
    <w:p w14:paraId="411F27E5" w14:textId="29B3183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w:t>
      </w:r>
      <w:r w:rsidR="006234DF">
        <w:rPr>
          <w:rFonts w:ascii="仿宋" w:eastAsia="仿宋" w:hAnsi="仿宋"/>
          <w:color w:val="000000"/>
          <w:sz w:val="28"/>
          <w:szCs w:val="28"/>
        </w:rPr>
        <w:t>3</w:t>
      </w:r>
      <w:r>
        <w:rPr>
          <w:rFonts w:ascii="仿宋" w:eastAsia="仿宋" w:hAnsi="仿宋" w:hint="eastAsia"/>
          <w:color w:val="000000"/>
          <w:sz w:val="28"/>
          <w:szCs w:val="28"/>
        </w:rPr>
        <w:t>）如有确凿证据表明按上述方法进行估值不能客观反映其公允价值的，基金管理人可根据具体情况与基金托管人商定后，按最能反映公允价值的价格估值。</w:t>
      </w:r>
    </w:p>
    <w:p w14:paraId="634A6025" w14:textId="7836235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w:t>
      </w:r>
      <w:r w:rsidR="006234DF">
        <w:rPr>
          <w:rFonts w:ascii="仿宋" w:eastAsia="仿宋" w:hAnsi="仿宋"/>
          <w:color w:val="000000"/>
          <w:sz w:val="28"/>
          <w:szCs w:val="28"/>
        </w:rPr>
        <w:t>4</w:t>
      </w:r>
      <w:r>
        <w:rPr>
          <w:rFonts w:ascii="仿宋" w:eastAsia="仿宋" w:hAnsi="仿宋" w:hint="eastAsia"/>
          <w:color w:val="000000"/>
          <w:sz w:val="28"/>
          <w:szCs w:val="28"/>
        </w:rPr>
        <w:t>）当发生大额申购或赎回情形时，基金管理人可以采用摆动定价机制，以确保基金估值的公平性。</w:t>
      </w:r>
    </w:p>
    <w:p w14:paraId="3757511F" w14:textId="60947CB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w:t>
      </w:r>
      <w:r w:rsidR="006234DF">
        <w:rPr>
          <w:rFonts w:ascii="仿宋" w:eastAsia="仿宋" w:hAnsi="仿宋"/>
          <w:color w:val="000000"/>
          <w:sz w:val="28"/>
          <w:szCs w:val="28"/>
        </w:rPr>
        <w:t>5</w:t>
      </w:r>
      <w:r>
        <w:rPr>
          <w:rFonts w:ascii="仿宋" w:eastAsia="仿宋" w:hAnsi="仿宋" w:hint="eastAsia"/>
          <w:color w:val="000000"/>
          <w:sz w:val="28"/>
          <w:szCs w:val="28"/>
        </w:rPr>
        <w:t>）其他资产按法律法规或监管机构有关规定进行估值。</w:t>
      </w:r>
    </w:p>
    <w:p w14:paraId="2BCFD865" w14:textId="65715B3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w:t>
      </w:r>
      <w:r w:rsidR="006234DF">
        <w:rPr>
          <w:rFonts w:ascii="仿宋" w:eastAsia="仿宋" w:hAnsi="仿宋"/>
          <w:color w:val="000000"/>
          <w:sz w:val="28"/>
          <w:szCs w:val="28"/>
        </w:rPr>
        <w:t>6</w:t>
      </w:r>
      <w:r>
        <w:rPr>
          <w:rFonts w:ascii="仿宋" w:eastAsia="仿宋" w:hAnsi="仿宋" w:hint="eastAsia"/>
          <w:color w:val="000000"/>
          <w:sz w:val="28"/>
          <w:szCs w:val="28"/>
        </w:rPr>
        <w:t>）税收按照相关法律法规、监管机构等的规定以及行业惯例进行处理。</w:t>
      </w:r>
    </w:p>
    <w:p w14:paraId="7CE2F200" w14:textId="61A5F26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w:t>
      </w:r>
      <w:r w:rsidR="006234DF">
        <w:rPr>
          <w:rFonts w:ascii="仿宋" w:eastAsia="仿宋" w:hAnsi="仿宋"/>
          <w:color w:val="000000"/>
          <w:sz w:val="28"/>
          <w:szCs w:val="28"/>
        </w:rPr>
        <w:t>7</w:t>
      </w:r>
      <w:r>
        <w:rPr>
          <w:rFonts w:ascii="仿宋" w:eastAsia="仿宋" w:hAnsi="仿宋" w:hint="eastAsia"/>
          <w:color w:val="000000"/>
          <w:sz w:val="28"/>
          <w:szCs w:val="28"/>
        </w:rPr>
        <w:t>）相关法律法规以及监管部门有强制规定的，从其规定。如有新增事项，按国家最新规定估值。</w:t>
      </w:r>
    </w:p>
    <w:p w14:paraId="296AF1D9" w14:textId="4600A44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如基金管理人或基金托管人发现基金估值违反基金合同订明的估值方法、程序及相关法律法规的规定或者未能充分维护基金份额持有人利益时，应立即通知对方，共同查明原因，双方协商解决。</w:t>
      </w:r>
    </w:p>
    <w:p w14:paraId="06CCD173" w14:textId="72BF69C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信息的计算结果对外予以公布。</w:t>
      </w:r>
    </w:p>
    <w:bookmarkEnd w:id="32"/>
    <w:p w14:paraId="7A8BE46B"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8.3估值差错处理</w:t>
      </w:r>
    </w:p>
    <w:p w14:paraId="63C6CD30" w14:textId="7367958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8.3.1因基金估值错误给投资人造成损失的应由过错方根据过错情况承担相应责任。</w:t>
      </w:r>
    </w:p>
    <w:p w14:paraId="5CBA8F11" w14:textId="5A18CBF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8.3.2当基金管理人计算的基金净值信息已由基金托管人复核确认后公告的，由此造成的投资人或基金的损失，应根据法律法规的规定和过错情况各自承担相应的责任。</w:t>
      </w:r>
    </w:p>
    <w:p w14:paraId="7C0F56D7" w14:textId="6520AB5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8.3.3由于一方当事人提供的信息错误，另一方当事人在采取了必要合理的措施后仍不能发现该错误，进而导致基金资产净值、基金份额净值计算错误造成投资人或基金的损失，以及由此造成以后交易日基金资产净值、基金份额净值计算顺延错误而引起的投资人或基金的损失，由相关过错方根据过错情况承担赔偿责任。</w:t>
      </w:r>
    </w:p>
    <w:p w14:paraId="738363DF" w14:textId="27BA9AB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8.3.4由于不可抗力原因，或由于证券、期货交易所、登记结算公司等发送的数据错误，或国家会计政策变更、市场规则变更等非基金管理人与基金托管人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减轻或消除由此造成的影响。</w:t>
      </w:r>
    </w:p>
    <w:p w14:paraId="129B6643" w14:textId="0594DB1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8.3.5当基金管理人计算的基金净值信息与基金托管人的计算结果不一致时，相关各方应本着勤勉尽责的态度重新计算核对，如果最后仍无法达成一致，应以基金管理人的计算结果为准对外公布，由此造成的损失，基金托管人没有过错的不承担责任。</w:t>
      </w:r>
    </w:p>
    <w:p w14:paraId="6EAEE2BE" w14:textId="3AA6E3D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8.4基金账册的建立</w:t>
      </w:r>
    </w:p>
    <w:p w14:paraId="463D7B06" w14:textId="036331A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8.4.1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3FA57384" w14:textId="15DAAA0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8.4.2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494D5CBA" w14:textId="00BA044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8.5基金定期报告的编制和复核</w:t>
      </w:r>
    </w:p>
    <w:p w14:paraId="37EB3A3D" w14:textId="119839B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8.5.1基金财务报表由基金管理人和基金托管人每月分别独立编制。月度报表的编制，应于每月终了后5个工作日内完成。</w:t>
      </w:r>
    </w:p>
    <w:p w14:paraId="56261ADD" w14:textId="1395C55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8.5.2基金管理人在季度结束之日起15个工作日内完成季度报告编制并公告；在上半年结束之日起两个月内完成中期报告编制并公告；在每年结束之日起三个月内完成年度报告编制并公告。</w:t>
      </w:r>
    </w:p>
    <w:p w14:paraId="0EE16EEC" w14:textId="5560E4E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8.5.3基金管理人应及时完成报表编制，将有关报表提供基金托管人复核。基金托管人在复核过程中，发现双方的报表存在不符时，基金管理人和基金托管人应共同查明原因，进行调整，调整以国家有关规定为准。</w:t>
      </w:r>
    </w:p>
    <w:p w14:paraId="79691704" w14:textId="1719757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8.5.4核对无误后，基金托管人在基金管理人提供的报告上加盖业务印鉴或者出具加盖托管业务部门公章的复核意见书，相关各方各自留存一份。</w:t>
      </w:r>
    </w:p>
    <w:p w14:paraId="4FA4F900" w14:textId="3C92BF7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8.5.5基金托管人在对财务会计报告、季度报告、中期报告或年度报告复核完毕后，需向基金管理人进行书面或电子确认，以备有权机构对相关文件审核时提示。</w:t>
      </w:r>
    </w:p>
    <w:p w14:paraId="06F15B48" w14:textId="77777777" w:rsidR="00ED7E69" w:rsidRDefault="00083714">
      <w:pPr>
        <w:pStyle w:val="21"/>
        <w:rPr>
          <w:rFonts w:ascii="仿宋" w:eastAsia="仿宋" w:hAnsi="仿宋"/>
          <w:color w:val="000000"/>
          <w:sz w:val="28"/>
          <w:szCs w:val="28"/>
        </w:rPr>
      </w:pPr>
      <w:r>
        <w:rPr>
          <w:rFonts w:ascii="仿宋" w:eastAsia="仿宋" w:hAnsi="仿宋"/>
          <w:color w:val="000000"/>
          <w:sz w:val="28"/>
          <w:szCs w:val="28"/>
        </w:rPr>
        <w:t>8.6暂停估值的情形</w:t>
      </w:r>
    </w:p>
    <w:p w14:paraId="74478A4E" w14:textId="64C7A4E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（1）基金投资所涉及的证券、期货交易市场遇法定节假日或因其他原因暂停营业时；</w:t>
      </w:r>
    </w:p>
    <w:p w14:paraId="7791D888" w14:textId="13B52E8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（2）因不可抗力或其他情形致使基金管理人、基金托管人无法准确评估基金资产价值时；</w:t>
      </w:r>
    </w:p>
    <w:p w14:paraId="312CBF89" w14:textId="3E462FE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（3）当特定资产占前一估值日基金资产净值 50%以上的，经与基金托管人协商确认后，基金管理人应当暂停估值；</w:t>
      </w:r>
    </w:p>
    <w:p w14:paraId="1CBCB46D" w14:textId="25A9290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（4）法律法规、中国证监会和基金合同认定的其他情形</w:t>
      </w:r>
      <w:r>
        <w:rPr>
          <w:rFonts w:ascii="仿宋" w:eastAsia="仿宋" w:hAnsi="仿宋"/>
          <w:color w:val="000000"/>
          <w:sz w:val="28"/>
          <w:szCs w:val="28"/>
        </w:rPr>
        <w:t>。</w:t>
      </w:r>
    </w:p>
    <w:p w14:paraId="0E628248" w14:textId="77777777" w:rsidR="00ED7E69" w:rsidRDefault="00ED7E69">
      <w:pPr>
        <w:ind w:firstLine="560" w:firstLineChars="200"/>
        <w:rPr>
          <w:rFonts w:ascii="仿宋" w:eastAsia="仿宋" w:hAnsi="仿宋"/>
          <w:sz w:val="28"/>
          <w:szCs w:val="28"/>
        </w:rPr>
      </w:pPr>
    </w:p>
    <w:p w14:paraId="742CBEF9" w14:textId="77777777" w:rsidR="00ED7E69" w:rsidRDefault="00ED7E69">
      <w:pPr>
        <w:pStyle w:val="21"/>
        <w:rPr>
          <w:rFonts w:ascii="仿宋" w:eastAsia="仿宋" w:hAnsi="仿宋"/>
          <w:color w:val="000000"/>
          <w:sz w:val="28"/>
          <w:szCs w:val="28"/>
        </w:rPr>
      </w:pPr>
    </w:p>
    <w:p w14:paraId="73A746D9" w14:textId="77777777" w:rsidR="00ED7E69" w:rsidRDefault="00ED7E69">
      <w:pPr>
        <w:pStyle w:val="1"/>
        <w:rPr>
          <w:rFonts w:ascii="仿宋" w:eastAsia="仿宋" w:hAnsi="仿宋"/>
          <w:bCs/>
          <w:sz w:val="28"/>
          <w:szCs w:val="28"/>
        </w:rPr>
        <w:sectPr w:rsidR="00ED7E69">
          <w:footerReference r:id="rId23" w:type="default"/>
          <w:pgSz w:h="16840" w:w="11907"/>
          <w:pgMar w:bottom="1134" w:footer="720" w:gutter="0" w:header="720" w:left="1452" w:right="1452" w:top="1361"/>
          <w:cols w:space="720"/>
          <w:docGrid w:linePitch="286"/>
        </w:sectPr>
      </w:pPr>
      <w:bookmarkStart w:id="33" w:name="_Toc296551345"/>
    </w:p>
    <w:p w14:paraId="7355DE5A" w14:textId="6596F503" w:rsidR="00ED7E69" w:rsidRDefault="00083714">
      <w:pPr>
        <w:pStyle w:val="1"/>
        <w:rPr>
          <w:rFonts w:ascii="仿宋" w:eastAsia="仿宋" w:hAnsi="仿宋"/>
          <w:bCs/>
          <w:sz w:val="28"/>
          <w:szCs w:val="28"/>
        </w:rPr>
      </w:pPr>
      <w:bookmarkStart w:id="34" w:name="_Toc187930229"/>
      <w:r>
        <w:rPr>
          <w:rFonts w:ascii="仿宋" w:eastAsia="仿宋" w:hAnsi="仿宋" w:hint="eastAsia"/>
          <w:bCs/>
          <w:sz w:val="28"/>
          <w:szCs w:val="28"/>
        </w:rPr>
        <w:t>第九条 基金收益分配</w:t>
      </w:r>
      <w:bookmarkEnd w:id="33"/>
      <w:bookmarkEnd w:id="34"/>
    </w:p>
    <w:p w14:paraId="404015B6" w14:textId="27E80AE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9.1基金利润的构成</w:t>
      </w:r>
    </w:p>
    <w:p w14:paraId="758DBA0F" w14:textId="554A057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基金利润指基金利息收入、投资收益、公允价值变动收益和其他收入扣除相关费用后的余额；基金已实现收益指基金利润减去公允价值变动损益后的余额。</w:t>
      </w:r>
    </w:p>
    <w:p w14:paraId="5927D493" w14:textId="13C055D0" w:rsidR="00ED7E69" w:rsidRDefault="00083714">
      <w:pPr>
        <w:pStyle w:val="21"/>
        <w:rPr>
          <w:rFonts w:ascii="仿宋" w:eastAsia="仿宋" w:hAnsi="仿宋"/>
          <w:color w:val="000000"/>
          <w:sz w:val="28"/>
          <w:szCs w:val="28"/>
        </w:rPr>
      </w:pPr>
      <w:r>
        <w:rPr>
          <w:rFonts w:ascii="仿宋" w:eastAsia="仿宋" w:hAnsi="仿宋"/>
          <w:color w:val="000000"/>
          <w:sz w:val="28"/>
          <w:szCs w:val="28"/>
        </w:rPr>
        <w:t>9.2</w:t>
      </w:r>
      <w:r>
        <w:rPr>
          <w:rFonts w:ascii="仿宋" w:eastAsia="仿宋" w:hAnsi="仿宋" w:hint="eastAsia"/>
          <w:color w:val="000000"/>
          <w:sz w:val="28"/>
          <w:szCs w:val="28"/>
        </w:rPr>
        <w:t>基金可供分配利润</w:t>
      </w:r>
    </w:p>
    <w:p w14:paraId="6812E072" w14:textId="6AD31AA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基金可供分配利润指截至收益分配基准日基金未分配利润与未分配利润中已实现收益的孰低数。</w:t>
      </w:r>
    </w:p>
    <w:p w14:paraId="37395579"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9.</w:t>
      </w:r>
      <w:r>
        <w:rPr>
          <w:rFonts w:ascii="仿宋" w:eastAsia="仿宋" w:hAnsi="仿宋"/>
          <w:color w:val="000000"/>
          <w:sz w:val="28"/>
          <w:szCs w:val="28"/>
        </w:rPr>
        <w:t>3</w:t>
      </w:r>
      <w:r>
        <w:rPr>
          <w:rFonts w:ascii="仿宋" w:eastAsia="仿宋" w:hAnsi="仿宋" w:hint="eastAsia"/>
          <w:color w:val="000000"/>
          <w:sz w:val="28"/>
          <w:szCs w:val="28"/>
        </w:rPr>
        <w:t>收益分配原则</w:t>
      </w:r>
    </w:p>
    <w:p w14:paraId="2D90D78D" w14:textId="2F2F116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在符合有关基金分红条件的前提下，本基金每年收益分配次数最多为12次，每份基金份额每次基金收益分配比例不得低于基金收益分配基准日每份基金份额可供分配利润的10%，若《基金合同》生效不满3个月可不进行收益分配。</w:t>
      </w:r>
    </w:p>
    <w:p w14:paraId="28AA18D6" w14:textId="78D5592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（2）本基金收益分配方式分两种：现金分红与红利再投资，投资者可选择现金红利或将现金红利自动转为相应类别基金份额进行再投资；若投资者不选择，本基金默认的收益分配方式是现金分红。</w:t>
      </w:r>
      <w:r w:rsidR="00E6389A" w:rsidRPr="00E6389A">
        <w:rPr>
          <w:rFonts w:ascii="仿宋" w:eastAsia="仿宋" w:hAnsi="仿宋" w:hint="eastAsia"/>
          <w:color w:val="000000"/>
          <w:sz w:val="28"/>
          <w:szCs w:val="28"/>
        </w:rPr>
        <w:t>本基金的分红权益登记日和收益分配基准日由基金管理人确定，分红确认日为分红权益登记日的下一工作日。</w:t>
      </w:r>
    </w:p>
    <w:p w14:paraId="208790B4" w14:textId="358271E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（3）基金收益分配后各类基金份额净值不能低于面值；即基金收益分配基准日的各类基金份额净值减去每单位该类基金份额收益分配金额后不能低于面值。</w:t>
      </w:r>
    </w:p>
    <w:p w14:paraId="0BC6FD65" w14:textId="36705FA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（4）由于本基金</w:t>
      </w:r>
      <w:r w:rsidR="00A0339F">
        <w:rPr>
          <w:rFonts w:ascii="仿宋" w:eastAsia="仿宋" w:hAnsi="仿宋" w:hint="eastAsia"/>
          <w:color w:val="000000"/>
          <w:sz w:val="28"/>
          <w:szCs w:val="28"/>
        </w:rPr>
        <w:t>各</w:t>
      </w:r>
      <w:r w:rsidR="00535E44">
        <w:rPr>
          <w:rFonts w:ascii="仿宋" w:eastAsia="仿宋" w:hAnsi="仿宋" w:hint="eastAsia"/>
          <w:color w:val="000000"/>
          <w:sz w:val="28"/>
          <w:szCs w:val="28"/>
        </w:rPr>
        <w:t>类</w:t>
      </w:r>
      <w:r>
        <w:rPr>
          <w:rFonts w:ascii="仿宋" w:eastAsia="仿宋" w:hAnsi="仿宋" w:hint="eastAsia"/>
          <w:color w:val="000000"/>
          <w:sz w:val="28"/>
          <w:szCs w:val="28"/>
        </w:rPr>
        <w:t>基金份额的销售费用、</w:t>
      </w:r>
      <w:r>
        <w:rPr>
          <w:rFonts w:ascii="仿宋" w:eastAsia="仿宋" w:hAnsi="仿宋"/>
          <w:color w:val="000000"/>
          <w:sz w:val="28"/>
          <w:szCs w:val="28"/>
        </w:rPr>
        <w:t>管理费</w:t>
      </w:r>
      <w:r>
        <w:rPr>
          <w:rFonts w:ascii="仿宋" w:eastAsia="仿宋" w:hAnsi="仿宋" w:hint="eastAsia"/>
          <w:color w:val="000000"/>
          <w:sz w:val="28"/>
          <w:szCs w:val="28"/>
        </w:rPr>
        <w:t>收取方式存在不同，各基金份额类别对应的可供分配收益将有所不同。本基金同一类别的每一基金份额享有同等分配权。</w:t>
      </w:r>
    </w:p>
    <w:p w14:paraId="014FE26B" w14:textId="63B01BC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sidR="005771CA">
        <w:rPr>
          <w:rFonts w:ascii="仿宋" w:eastAsia="仿宋" w:hAnsi="仿宋"/>
          <w:color w:val="000000"/>
          <w:sz w:val="28"/>
          <w:szCs w:val="28"/>
        </w:rPr>
        <w:t>5</w:t>
      </w:r>
      <w:r>
        <w:rPr>
          <w:rFonts w:ascii="仿宋" w:eastAsia="仿宋" w:hAnsi="仿宋" w:hint="eastAsia"/>
          <w:color w:val="000000"/>
          <w:sz w:val="28"/>
          <w:szCs w:val="28"/>
        </w:rPr>
        <w:t>）法律法规或监管机关另有规定的，从其规定。</w:t>
      </w:r>
    </w:p>
    <w:p w14:paraId="70ADCD5A" w14:textId="26E4F28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在不违反法律法规且对基金份额持有人利益无实质性不利影响的情况下，基金管理人可在法律法规允许的前提下酌情调整以上基金收益分配原则，此项调整不需要召开基金份额持有人大会，但应于变更实施日前在规定媒介公告。</w:t>
      </w:r>
    </w:p>
    <w:p w14:paraId="56ABF586"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9.</w:t>
      </w:r>
      <w:r>
        <w:rPr>
          <w:rFonts w:ascii="仿宋" w:eastAsia="仿宋" w:hAnsi="仿宋"/>
          <w:color w:val="000000"/>
          <w:sz w:val="28"/>
          <w:szCs w:val="28"/>
        </w:rPr>
        <w:t>4</w:t>
      </w:r>
      <w:r>
        <w:rPr>
          <w:rFonts w:ascii="仿宋" w:eastAsia="仿宋" w:hAnsi="仿宋" w:hint="eastAsia"/>
          <w:color w:val="000000"/>
          <w:sz w:val="28"/>
          <w:szCs w:val="28"/>
        </w:rPr>
        <w:t>收益分配方案</w:t>
      </w:r>
    </w:p>
    <w:p w14:paraId="1DF6F66A" w14:textId="7710E0E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基金收益分配方案中应载明截止收益分配基准日的可供分配利润、基金收益分配对象、分配时间、分配数额及比例、分配方式等内容。</w:t>
      </w:r>
    </w:p>
    <w:p w14:paraId="26580718"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9.</w:t>
      </w:r>
      <w:r>
        <w:rPr>
          <w:rFonts w:ascii="仿宋" w:eastAsia="仿宋" w:hAnsi="仿宋"/>
          <w:color w:val="000000"/>
          <w:sz w:val="28"/>
          <w:szCs w:val="28"/>
        </w:rPr>
        <w:t>5</w:t>
      </w:r>
      <w:r>
        <w:rPr>
          <w:rFonts w:ascii="仿宋" w:eastAsia="仿宋" w:hAnsi="仿宋" w:hint="eastAsia"/>
          <w:color w:val="000000"/>
          <w:sz w:val="28"/>
          <w:szCs w:val="28"/>
        </w:rPr>
        <w:t>收益分配的时间和程序</w:t>
      </w:r>
    </w:p>
    <w:p w14:paraId="1A14DB3E" w14:textId="14D40B9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9.5.1本基金收益分配方案由基金管理人拟定，并由基金托管人复核，依照《信息披露办法》的有关规定在规定媒介公告。</w:t>
      </w:r>
    </w:p>
    <w:p w14:paraId="2D2BA3DB" w14:textId="06A7E8D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9.5.2在收益分配方案公布后，基金管理人依据具体方案的规定就支付的现金红利向基金托管人发送划款指令，基金托管人按照基金管理人的指令及时进行分红资金的划付。</w:t>
      </w:r>
    </w:p>
    <w:p w14:paraId="7E39C339"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9.5.3法律法规或监管机关另有规定的，从其规定</w:t>
      </w:r>
      <w:r>
        <w:rPr>
          <w:rFonts w:ascii="仿宋" w:eastAsia="仿宋" w:hAnsi="仿宋"/>
          <w:color w:val="000000"/>
          <w:sz w:val="28"/>
          <w:szCs w:val="28"/>
        </w:rPr>
        <w:t>。</w:t>
      </w:r>
    </w:p>
    <w:p w14:paraId="09036A88" w14:textId="77777777" w:rsidR="00ED7E69" w:rsidRDefault="00ED7E69">
      <w:pPr>
        <w:pStyle w:val="1"/>
        <w:rPr>
          <w:rFonts w:ascii="仿宋" w:eastAsia="仿宋" w:hAnsi="仿宋"/>
          <w:bCs/>
          <w:sz w:val="28"/>
          <w:szCs w:val="28"/>
        </w:rPr>
        <w:sectPr w:rsidR="00ED7E69">
          <w:footerReference r:id="rId24" w:type="default"/>
          <w:footerReference r:id="rId25" w:type="first"/>
          <w:pgSz w:h="16840" w:w="11907"/>
          <w:pgMar w:bottom="1134" w:footer="720" w:gutter="0" w:header="720" w:left="1452" w:right="1452" w:top="1361"/>
          <w:cols w:space="720"/>
          <w:docGrid w:linePitch="286"/>
        </w:sectPr>
      </w:pPr>
      <w:bookmarkStart w:id="35" w:name="_Toc296551346"/>
    </w:p>
    <w:p w14:paraId="631A8A98" w14:textId="77777777" w:rsidR="00ED7E69" w:rsidRDefault="00083714">
      <w:pPr>
        <w:pStyle w:val="1"/>
        <w:rPr>
          <w:rFonts w:ascii="仿宋" w:eastAsia="仿宋" w:hAnsi="仿宋"/>
          <w:bCs/>
          <w:sz w:val="28"/>
          <w:szCs w:val="28"/>
        </w:rPr>
      </w:pPr>
      <w:bookmarkStart w:id="36" w:name="_Toc187930230"/>
      <w:r>
        <w:rPr>
          <w:rFonts w:ascii="仿宋" w:eastAsia="仿宋" w:hAnsi="仿宋" w:hint="eastAsia"/>
          <w:bCs/>
          <w:sz w:val="28"/>
          <w:szCs w:val="28"/>
        </w:rPr>
        <w:t>第十条 信息披露</w:t>
      </w:r>
      <w:bookmarkEnd w:id="35"/>
      <w:bookmarkEnd w:id="36"/>
    </w:p>
    <w:p w14:paraId="0C43C2FC"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10.1保密义务</w:t>
      </w:r>
    </w:p>
    <w:p w14:paraId="1E9C0841" w14:textId="3D52F0D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10.1.1除按照《基金法》、《信息披露办法》、基金合同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但是，如下情况不应视为基金管理人或基金托管人违反保密义务：</w:t>
      </w:r>
    </w:p>
    <w:p w14:paraId="62F55CC2" w14:textId="10979A8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（1）非因基金管理人和基金托管人的原因导致保密信息被披露、泄露或公开；</w:t>
      </w:r>
    </w:p>
    <w:p w14:paraId="79F472B0" w14:textId="1B82503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（2）基金管理人和基金托管人为遵守和服从法院判决或裁定、仲裁裁决或中国证监会等监管机构的命令、决定所做出的信息披露或公开。</w:t>
      </w:r>
    </w:p>
    <w:p w14:paraId="31E0BF93" w14:textId="18040B6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10.2基金管理人和基金托管人在信息披露中的职责和信息披露程序</w:t>
      </w:r>
    </w:p>
    <w:p w14:paraId="16224B23" w14:textId="19044EC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10.2.1基金管理人和基金托管人应根据相关法律法规、基金合同的规定各自承担相应的信息披露职责。基金管理人和基金托管人负有积极配合、互相督促、彼此监督、保证其履行按照法定方式和时限披露的义务。</w:t>
      </w:r>
    </w:p>
    <w:p w14:paraId="3CA9444C" w14:textId="53EBE94D" w:rsidR="00ED7E69" w:rsidRDefault="00083714">
      <w:pPr>
        <w:pStyle w:val="21"/>
        <w:rPr>
          <w:rFonts w:ascii="仿宋" w:eastAsia="仿宋" w:hAnsi="仿宋"/>
          <w:color w:val="000000"/>
          <w:sz w:val="28"/>
          <w:szCs w:val="28"/>
        </w:rPr>
      </w:pPr>
      <w:r>
        <w:rPr>
          <w:rFonts w:ascii="仿宋" w:eastAsia="仿宋" w:hAnsi="仿宋"/>
          <w:color w:val="000000"/>
          <w:sz w:val="28"/>
          <w:szCs w:val="28"/>
        </w:rPr>
        <w:t>10.2.2本基金信息披露的文件主要包括招募说明书、</w:t>
      </w:r>
      <w:r>
        <w:rPr>
          <w:rFonts w:ascii="仿宋" w:eastAsia="仿宋" w:hAnsi="仿宋" w:hint="eastAsia"/>
          <w:color w:val="000000"/>
          <w:sz w:val="28"/>
          <w:szCs w:val="28"/>
        </w:rPr>
        <w:t>基金产品资料概要、</w:t>
      </w:r>
      <w:r>
        <w:rPr>
          <w:rFonts w:ascii="仿宋" w:eastAsia="仿宋" w:hAnsi="仿宋"/>
          <w:color w:val="000000"/>
          <w:sz w:val="28"/>
          <w:szCs w:val="28"/>
        </w:rPr>
        <w:t>基金合同、本协议、定期报告、临时报告、澄清公告、基金份额净值、</w:t>
      </w:r>
      <w:r>
        <w:rPr>
          <w:rFonts w:ascii="仿宋" w:eastAsia="仿宋" w:hAnsi="仿宋" w:hint="eastAsia"/>
          <w:color w:val="000000"/>
          <w:sz w:val="28"/>
          <w:szCs w:val="28"/>
        </w:rPr>
        <w:t>基金份额累计净值、</w:t>
      </w:r>
      <w:r>
        <w:rPr>
          <w:rFonts w:ascii="仿宋" w:eastAsia="仿宋" w:hAnsi="仿宋"/>
          <w:color w:val="000000"/>
          <w:sz w:val="28"/>
          <w:szCs w:val="28"/>
        </w:rPr>
        <w:t>基金份额申购、赎回价格、基金份额持有人大会决议、</w:t>
      </w:r>
      <w:r>
        <w:rPr>
          <w:rFonts w:ascii="仿宋" w:eastAsia="仿宋" w:hAnsi="仿宋" w:hint="eastAsia"/>
          <w:color w:val="000000"/>
          <w:sz w:val="28"/>
          <w:szCs w:val="28"/>
        </w:rPr>
        <w:t>清算报告、</w:t>
      </w:r>
      <w:r>
        <w:rPr>
          <w:rFonts w:ascii="仿宋" w:eastAsia="仿宋" w:hAnsi="仿宋"/>
          <w:color w:val="000000"/>
          <w:sz w:val="28"/>
          <w:szCs w:val="28"/>
        </w:rPr>
        <w:t>基金投资资产支持证券、港股通标的股票</w:t>
      </w:r>
      <w:r>
        <w:rPr>
          <w:rFonts w:ascii="仿宋" w:eastAsia="仿宋" w:hAnsi="仿宋" w:hint="eastAsia"/>
          <w:color w:val="000000"/>
          <w:sz w:val="28"/>
          <w:szCs w:val="28"/>
        </w:rPr>
        <w:t>、股指期货、国债期货、股票期权</w:t>
      </w:r>
      <w:r>
        <w:rPr>
          <w:rFonts w:ascii="仿宋" w:eastAsia="仿宋" w:hAnsi="仿宋"/>
          <w:color w:val="000000"/>
          <w:sz w:val="28"/>
          <w:szCs w:val="28"/>
        </w:rPr>
        <w:t>的相关公告</w:t>
      </w:r>
      <w:r>
        <w:rPr>
          <w:rFonts w:ascii="仿宋" w:eastAsia="仿宋" w:hAnsi="仿宋" w:hint="eastAsia"/>
          <w:color w:val="000000"/>
          <w:sz w:val="28"/>
          <w:szCs w:val="28"/>
        </w:rPr>
        <w:t>、参与融资业务的信息披露</w:t>
      </w:r>
      <w:r>
        <w:rPr>
          <w:rFonts w:ascii="仿宋" w:eastAsia="仿宋" w:hAnsi="仿宋"/>
          <w:color w:val="000000"/>
          <w:sz w:val="28"/>
          <w:szCs w:val="28"/>
        </w:rPr>
        <w:t>及其他必要的公告文件，由基金管理人和基金托管人按照有关法律法规的规定予以公布。</w:t>
      </w:r>
    </w:p>
    <w:p w14:paraId="44ADF57F" w14:textId="2C1EA3C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10.2.3基金托管人应当按照相关法律、行政法规、中国证监会的规定和基金合同的约定，对基金管理人编制的基金资产净值、各类基金份额净值、基金业绩表现数据、基金定期报告、更新的招募说明书、基金产品资料概要、基金清算报告等相关基金信息进行复核、审查，并向基金管理人进行书面或电子确认。</w:t>
      </w:r>
    </w:p>
    <w:p w14:paraId="60AFD377" w14:textId="42341E0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10.2.4基金年报中的财务报告部分，经符合《证券法》规定的会计师事务所审计后，方可披露。</w:t>
      </w:r>
    </w:p>
    <w:p w14:paraId="54505D43" w14:textId="1C89917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10.2.5基金管理人应当在中国证监会规定的时间内，将应予披露的基金信息通过中国证监会规定媒介披露。根据法律法规应由基金托管人公开披露的信息，基金托管人将通过中国证监会规定媒介公开披露。</w:t>
      </w:r>
    </w:p>
    <w:p w14:paraId="2A16B5CC" w14:textId="130B41C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10.2.6予以披露的信息文本，存放在基金管理人和基金托管人处，投资人可以免费查阅。在支付工本费后可在合理时间获得上述文件的复制件或复印件。基金管理人和基金托管人应保证文本的内容与所公告的内容完全一致。</w:t>
      </w:r>
    </w:p>
    <w:p w14:paraId="44492083"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10.3暂停或延迟基金相关信息披露的情形</w:t>
      </w:r>
    </w:p>
    <w:p w14:paraId="44710D6B"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（1）不可抗力；</w:t>
      </w:r>
    </w:p>
    <w:p w14:paraId="401C94D1"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（2）基金投资所涉及的证券、期货交易市场遇法定节假日或因其他原因暂停营业时；</w:t>
      </w:r>
    </w:p>
    <w:p w14:paraId="2385F2B0"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（3）发生暂停估值的情形；</w:t>
      </w:r>
    </w:p>
    <w:p w14:paraId="7A484255" w14:textId="7BF45DB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（4）法律法规、中国证监会或《基金合同》认定的其他情形。</w:t>
      </w:r>
    </w:p>
    <w:p w14:paraId="4125B91B" w14:textId="68BB967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10.4基金托管人报告</w:t>
      </w:r>
    </w:p>
    <w:p w14:paraId="5F3B0EF5" w14:textId="5B1F151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基金托管人应按《基金法》、《运作办法》、《信息披露办法》和其他有关法律法规的规定于每个上半年度结束后两个月内、每个会计年度结束后三个月内在基金中期报告及年度报告中分别出具基金托管人报告。</w:t>
      </w:r>
    </w:p>
    <w:p w14:paraId="77B9B826" w14:textId="77777777" w:rsidR="00ED7E69" w:rsidRDefault="00ED7E69">
      <w:pPr>
        <w:pStyle w:val="21"/>
        <w:rPr>
          <w:rFonts w:ascii="仿宋" w:eastAsia="仿宋" w:hAnsi="仿宋"/>
          <w:color w:val="000000"/>
          <w:sz w:val="28"/>
          <w:szCs w:val="28"/>
        </w:rPr>
      </w:pPr>
    </w:p>
    <w:p w14:paraId="2ADA8045" w14:textId="77777777" w:rsidR="00ED7E69" w:rsidRDefault="00ED7E69">
      <w:pPr>
        <w:pStyle w:val="1"/>
        <w:rPr>
          <w:rFonts w:ascii="仿宋" w:eastAsia="仿宋" w:hAnsi="仿宋"/>
          <w:bCs/>
          <w:sz w:val="28"/>
          <w:szCs w:val="28"/>
        </w:rPr>
        <w:sectPr w:rsidR="00ED7E69">
          <w:footerReference r:id="rId26" w:type="default"/>
          <w:footerReference r:id="rId27" w:type="first"/>
          <w:pgSz w:h="16840" w:w="11907"/>
          <w:pgMar w:bottom="1134" w:footer="720" w:gutter="0" w:header="720" w:left="1452" w:right="1452" w:top="1361"/>
          <w:cols w:space="720"/>
          <w:docGrid w:linePitch="286"/>
        </w:sectPr>
      </w:pPr>
      <w:bookmarkStart w:id="37" w:name="_Toc296551347"/>
    </w:p>
    <w:p w14:paraId="1B77914A" w14:textId="52783099" w:rsidR="00ED7E69" w:rsidRDefault="00083714">
      <w:pPr>
        <w:pStyle w:val="1"/>
        <w:rPr>
          <w:rFonts w:ascii="仿宋" w:eastAsia="仿宋" w:hAnsi="仿宋"/>
          <w:bCs/>
          <w:sz w:val="28"/>
          <w:szCs w:val="28"/>
        </w:rPr>
      </w:pPr>
      <w:bookmarkStart w:id="38" w:name="_Toc187930231"/>
      <w:r>
        <w:rPr>
          <w:rFonts w:ascii="仿宋" w:eastAsia="仿宋" w:hAnsi="仿宋" w:hint="eastAsia"/>
          <w:bCs/>
          <w:sz w:val="28"/>
          <w:szCs w:val="28"/>
        </w:rPr>
        <w:t>第十一条 基金费用</w:t>
      </w:r>
      <w:bookmarkEnd w:id="37"/>
      <w:bookmarkEnd w:id="38"/>
    </w:p>
    <w:p w14:paraId="550D7C87" w14:textId="6A4F8D5C" w:rsidR="00ED7E69" w:rsidRDefault="00083714">
      <w:pPr>
        <w:pStyle w:val="21"/>
        <w:rPr>
          <w:rFonts w:ascii="仿宋" w:eastAsia="仿宋" w:hAnsi="仿宋"/>
          <w:color w:val="000000"/>
          <w:sz w:val="28"/>
          <w:szCs w:val="28"/>
        </w:rPr>
      </w:pPr>
      <w:bookmarkStart w:id="39" w:name="_Hlt88827255"/>
      <w:bookmarkEnd w:id="39"/>
      <w:r>
        <w:rPr>
          <w:rFonts w:ascii="仿宋" w:eastAsia="仿宋" w:hAnsi="仿宋" w:hint="eastAsia"/>
          <w:color w:val="000000"/>
          <w:sz w:val="28"/>
          <w:szCs w:val="28"/>
        </w:rPr>
        <w:t>11.1基金管理费的计提比例和计提方法</w:t>
      </w:r>
    </w:p>
    <w:p w14:paraId="016F2D2D" w14:textId="2E2A9B3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本基金A类</w:t>
      </w:r>
      <w:r w:rsidR="00A0339F">
        <w:rPr>
          <w:rFonts w:ascii="仿宋" w:eastAsia="仿宋" w:hAnsi="仿宋" w:hint="eastAsia"/>
          <w:color w:val="000000"/>
          <w:sz w:val="28"/>
          <w:szCs w:val="28"/>
        </w:rPr>
        <w:t>或</w:t>
      </w:r>
      <w:r>
        <w:rPr>
          <w:rFonts w:ascii="仿宋" w:eastAsia="仿宋" w:hAnsi="仿宋" w:hint="eastAsia"/>
          <w:color w:val="000000"/>
          <w:sz w:val="28"/>
          <w:szCs w:val="28"/>
        </w:rPr>
        <w:t>B类或C类基金份额的管理费年费率为0.</w:t>
      </w:r>
      <w:r>
        <w:rPr>
          <w:rFonts w:ascii="仿宋" w:eastAsia="仿宋" w:hAnsi="仿宋"/>
          <w:color w:val="000000"/>
          <w:sz w:val="28"/>
          <w:szCs w:val="28"/>
        </w:rPr>
        <w:t>6</w:t>
      </w:r>
      <w:r>
        <w:rPr>
          <w:rFonts w:ascii="仿宋" w:eastAsia="仿宋" w:hAnsi="仿宋" w:hint="eastAsia"/>
          <w:color w:val="000000"/>
          <w:sz w:val="28"/>
          <w:szCs w:val="28"/>
        </w:rPr>
        <w:t>%</w:t>
      </w:r>
      <w:r w:rsidR="00A0339F" w:rsidRPr="00A0339F">
        <w:rPr>
          <w:rFonts w:ascii="仿宋" w:eastAsia="仿宋" w:hAnsi="仿宋" w:hint="eastAsia"/>
          <w:color w:val="000000"/>
          <w:sz w:val="28"/>
          <w:szCs w:val="28"/>
        </w:rPr>
        <w:t>，D类或E类基金份额的管理费年费率为1.0%</w:t>
      </w:r>
      <w:r>
        <w:rPr>
          <w:rFonts w:ascii="仿宋" w:eastAsia="仿宋" w:hAnsi="仿宋" w:hint="eastAsia"/>
          <w:color w:val="000000"/>
          <w:sz w:val="28"/>
          <w:szCs w:val="28"/>
        </w:rPr>
        <w:t>。本基金各类基金份额的管理费按前一日该类基金份额对应资产净值以对应的管理费年费率分别计提。管理费的计算方法如下：</w:t>
      </w:r>
    </w:p>
    <w:p w14:paraId="2124BA91" w14:textId="3392332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H＝</w:t>
      </w:r>
      <w:r w:rsidR="00A0339F">
        <w:rPr>
          <w:rFonts w:ascii="仿宋" w:eastAsia="仿宋" w:hAnsi="仿宋"/>
          <w:color w:val="000000"/>
          <w:sz w:val="28"/>
          <w:szCs w:val="28"/>
        </w:rPr>
        <w:t>V</w:t>
      </w:r>
      <w:r>
        <w:rPr>
          <w:rFonts w:ascii="仿宋" w:eastAsia="仿宋" w:hAnsi="仿宋" w:hint="eastAsia"/>
          <w:color w:val="000000"/>
          <w:sz w:val="28"/>
          <w:szCs w:val="28"/>
        </w:rPr>
        <w:t>×</w:t>
      </w:r>
      <w:r>
        <w:rPr>
          <w:rFonts w:ascii="仿宋" w:eastAsia="仿宋" w:hAnsi="仿宋"/>
          <w:color w:val="000000"/>
          <w:sz w:val="28"/>
          <w:szCs w:val="28"/>
        </w:rPr>
        <w:t>I</w:t>
      </w:r>
      <w:r>
        <w:rPr>
          <w:rFonts w:ascii="仿宋" w:eastAsia="仿宋" w:hAnsi="仿宋" w:hint="eastAsia"/>
          <w:color w:val="000000"/>
          <w:sz w:val="28"/>
          <w:szCs w:val="28"/>
        </w:rPr>
        <w:t>÷当年天数</w:t>
      </w:r>
    </w:p>
    <w:p w14:paraId="19160E64" w14:textId="6BEC26F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H为各类基金份额每日应计提的基金管理费</w:t>
      </w:r>
    </w:p>
    <w:p w14:paraId="7E32DCC4" w14:textId="0AC1174B" w:rsidR="00ED7E69" w:rsidRDefault="00A0339F">
      <w:pPr>
        <w:pStyle w:val="21"/>
        <w:rPr>
          <w:rFonts w:ascii="仿宋" w:eastAsia="仿宋" w:hAnsi="仿宋"/>
          <w:color w:val="000000"/>
          <w:sz w:val="28"/>
          <w:szCs w:val="28"/>
        </w:rPr>
      </w:pPr>
      <w:r>
        <w:rPr>
          <w:rFonts w:ascii="仿宋" w:eastAsia="仿宋" w:hAnsi="仿宋"/>
          <w:color w:val="000000"/>
          <w:sz w:val="28"/>
          <w:szCs w:val="28"/>
        </w:rPr>
        <w:t>V</w:t>
      </w:r>
      <w:r>
        <w:rPr>
          <w:rFonts w:ascii="仿宋" w:eastAsia="仿宋" w:hAnsi="仿宋" w:hint="eastAsia"/>
          <w:color w:val="000000"/>
          <w:sz w:val="28"/>
          <w:szCs w:val="28"/>
        </w:rPr>
        <w:t>为该类基金份额对应</w:t>
      </w:r>
      <w:r>
        <w:rPr>
          <w:rFonts w:ascii="仿宋" w:eastAsia="仿宋" w:hAnsi="仿宋"/>
          <w:color w:val="000000"/>
          <w:sz w:val="28"/>
          <w:szCs w:val="28"/>
        </w:rPr>
        <w:t>的</w:t>
      </w:r>
      <w:r>
        <w:rPr>
          <w:rFonts w:ascii="仿宋" w:eastAsia="仿宋" w:hAnsi="仿宋" w:hint="eastAsia"/>
          <w:color w:val="000000"/>
          <w:sz w:val="28"/>
          <w:szCs w:val="28"/>
        </w:rPr>
        <w:t>前一日的基金资产净值</w:t>
      </w:r>
    </w:p>
    <w:p w14:paraId="004C49E0" w14:textId="3B505B9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I 为该类基金份额的管理费年费率</w:t>
      </w:r>
    </w:p>
    <w:p w14:paraId="09BAB938" w14:textId="11D8086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基金管理费每日计算，逐日累计至每月月底，按月支付，由基金托管人根据基金管理人的指令并</w:t>
      </w:r>
      <w:r>
        <w:rPr>
          <w:rFonts w:ascii="仿宋" w:eastAsia="仿宋" w:hAnsi="仿宋"/>
          <w:color w:val="000000"/>
          <w:sz w:val="28"/>
          <w:szCs w:val="28"/>
        </w:rPr>
        <w:t>进行复核后</w:t>
      </w:r>
      <w:r>
        <w:rPr>
          <w:rFonts w:ascii="仿宋" w:eastAsia="仿宋" w:hAnsi="仿宋" w:hint="eastAsia"/>
          <w:color w:val="000000"/>
          <w:sz w:val="28"/>
          <w:szCs w:val="28"/>
        </w:rPr>
        <w:t>，于次月前5个工作日内从基金资产中一次性支付。若遇法定节假日、休息日或不可抗力致使无法按时支付的，支付日期顺延。</w:t>
      </w:r>
    </w:p>
    <w:p w14:paraId="5B605E94" w14:textId="27C6DD0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11.2基金托管费的计提比例和计提方法</w:t>
      </w:r>
    </w:p>
    <w:p w14:paraId="1B1935B1" w14:textId="71E29DF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本基金的托管费按前一日基金资产净值的0.2</w:t>
      </w:r>
      <w:r>
        <w:rPr>
          <w:rFonts w:ascii="仿宋" w:eastAsia="仿宋" w:hAnsi="仿宋"/>
          <w:color w:val="000000"/>
          <w:sz w:val="28"/>
          <w:szCs w:val="28"/>
        </w:rPr>
        <w:t>0</w:t>
      </w:r>
      <w:r>
        <w:rPr>
          <w:rFonts w:ascii="仿宋" w:eastAsia="仿宋" w:hAnsi="仿宋" w:hint="eastAsia"/>
          <w:color w:val="000000"/>
          <w:sz w:val="28"/>
          <w:szCs w:val="28"/>
        </w:rPr>
        <w:t>%的年费率计提。托管费的计算方法如下：</w:t>
      </w:r>
    </w:p>
    <w:p w14:paraId="312D7B01" w14:textId="1DD378D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H＝E×0.2</w:t>
      </w:r>
      <w:r>
        <w:rPr>
          <w:rFonts w:ascii="仿宋" w:eastAsia="仿宋" w:hAnsi="仿宋"/>
          <w:color w:val="000000"/>
          <w:sz w:val="28"/>
          <w:szCs w:val="28"/>
        </w:rPr>
        <w:t>0</w:t>
      </w:r>
      <w:r>
        <w:rPr>
          <w:rFonts w:ascii="仿宋" w:eastAsia="仿宋" w:hAnsi="仿宋" w:hint="eastAsia"/>
          <w:color w:val="000000"/>
          <w:sz w:val="28"/>
          <w:szCs w:val="28"/>
        </w:rPr>
        <w:t>%÷当年天数</w:t>
      </w:r>
    </w:p>
    <w:p w14:paraId="38D49594" w14:textId="54CF445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H为每日应计提的基金托管费</w:t>
      </w:r>
    </w:p>
    <w:p w14:paraId="4E7B1BCB" w14:textId="2E7DA9F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E为前一日的基金资产净值</w:t>
      </w:r>
    </w:p>
    <w:p w14:paraId="63E60A18" w14:textId="1912EB3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基金托管费每日计算，逐日累计至每月月底，按月支付，由基金托管人根据基金管理人的指令并</w:t>
      </w:r>
      <w:r>
        <w:rPr>
          <w:rFonts w:ascii="仿宋" w:eastAsia="仿宋" w:hAnsi="仿宋"/>
          <w:color w:val="000000"/>
          <w:sz w:val="28"/>
          <w:szCs w:val="28"/>
        </w:rPr>
        <w:t>进行复核后，</w:t>
      </w:r>
      <w:r>
        <w:rPr>
          <w:rFonts w:ascii="仿宋" w:eastAsia="仿宋" w:hAnsi="仿宋" w:hint="eastAsia"/>
          <w:color w:val="000000"/>
          <w:sz w:val="28"/>
          <w:szCs w:val="28"/>
        </w:rPr>
        <w:t>于次月前 5 个工作日内从基金资产中一次性支付。若遇法定节假日、休息日或不可抗力致使无法按时支付的，支付日期顺延。</w:t>
      </w:r>
    </w:p>
    <w:p w14:paraId="0B1E2246" w14:textId="05D540C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11.3基金销售服务费的计提比例和计提方法</w:t>
      </w:r>
    </w:p>
    <w:p w14:paraId="1E158BF5" w14:textId="2958A6A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销售服务费可用于本基金市场推广、销售以及基金份额持有人服务等各项费用。本基金A、B</w:t>
      </w:r>
      <w:r w:rsidR="00A0339F">
        <w:rPr>
          <w:rFonts w:ascii="仿宋" w:eastAsia="仿宋" w:hAnsi="仿宋" w:hint="eastAsia"/>
          <w:color w:val="000000"/>
          <w:sz w:val="28"/>
          <w:szCs w:val="28"/>
        </w:rPr>
        <w:t>、</w:t>
      </w:r>
      <w:r w:rsidR="00A0339F">
        <w:rPr>
          <w:rFonts w:ascii="仿宋" w:eastAsia="仿宋" w:hAnsi="仿宋"/>
          <w:color w:val="000000"/>
          <w:sz w:val="28"/>
          <w:szCs w:val="28"/>
        </w:rPr>
        <w:t>D</w:t>
      </w:r>
      <w:r>
        <w:rPr>
          <w:rFonts w:ascii="仿宋" w:eastAsia="仿宋" w:hAnsi="仿宋" w:hint="eastAsia"/>
          <w:color w:val="000000"/>
          <w:sz w:val="28"/>
          <w:szCs w:val="28"/>
        </w:rPr>
        <w:t>类基金份额不收取销售服务费，C</w:t>
      </w:r>
      <w:r w:rsidR="00A0339F">
        <w:rPr>
          <w:rFonts w:ascii="仿宋" w:eastAsia="仿宋" w:hAnsi="仿宋" w:hint="eastAsia"/>
          <w:color w:val="000000"/>
          <w:sz w:val="28"/>
          <w:szCs w:val="28"/>
        </w:rPr>
        <w:t>、E</w:t>
      </w:r>
      <w:r>
        <w:rPr>
          <w:rFonts w:ascii="仿宋" w:eastAsia="仿宋" w:hAnsi="仿宋" w:hint="eastAsia"/>
          <w:color w:val="000000"/>
          <w:sz w:val="28"/>
          <w:szCs w:val="28"/>
        </w:rPr>
        <w:t>类基金份额的销售服务费年费率为</w:t>
      </w:r>
      <w:r>
        <w:rPr>
          <w:rFonts w:ascii="仿宋" w:eastAsia="仿宋" w:hAnsi="仿宋"/>
          <w:color w:val="000000"/>
          <w:sz w:val="28"/>
          <w:szCs w:val="28"/>
        </w:rPr>
        <w:t>0.</w:t>
      </w:r>
      <w:r w:rsidR="005771CA">
        <w:rPr>
          <w:rFonts w:ascii="仿宋" w:eastAsia="仿宋" w:hAnsi="仿宋"/>
          <w:color w:val="000000"/>
          <w:sz w:val="28"/>
          <w:szCs w:val="28"/>
        </w:rPr>
        <w:t>6</w:t>
      </w:r>
      <w:r>
        <w:rPr>
          <w:rFonts w:ascii="仿宋" w:eastAsia="仿宋" w:hAnsi="仿宋" w:hint="eastAsia"/>
          <w:color w:val="000000"/>
          <w:sz w:val="28"/>
          <w:szCs w:val="28"/>
        </w:rPr>
        <w:t>%。C</w:t>
      </w:r>
      <w:r w:rsidR="00A0339F">
        <w:rPr>
          <w:rFonts w:ascii="仿宋" w:eastAsia="仿宋" w:hAnsi="仿宋" w:hint="eastAsia"/>
          <w:color w:val="000000"/>
          <w:sz w:val="28"/>
          <w:szCs w:val="28"/>
        </w:rPr>
        <w:t>/E</w:t>
      </w:r>
      <w:r>
        <w:rPr>
          <w:rFonts w:ascii="仿宋" w:eastAsia="仿宋" w:hAnsi="仿宋" w:hint="eastAsia"/>
          <w:color w:val="000000"/>
          <w:sz w:val="28"/>
          <w:szCs w:val="28"/>
        </w:rPr>
        <w:t>类基金份额的销售服务费按前一日 C</w:t>
      </w:r>
      <w:r w:rsidR="00A0339F">
        <w:rPr>
          <w:rFonts w:ascii="仿宋" w:eastAsia="仿宋" w:hAnsi="仿宋"/>
          <w:color w:val="000000"/>
          <w:sz w:val="28"/>
          <w:szCs w:val="28"/>
        </w:rPr>
        <w:t>/E</w:t>
      </w:r>
      <w:r>
        <w:rPr>
          <w:rFonts w:ascii="仿宋" w:eastAsia="仿宋" w:hAnsi="仿宋" w:hint="eastAsia"/>
          <w:color w:val="000000"/>
          <w:sz w:val="28"/>
          <w:szCs w:val="28"/>
        </w:rPr>
        <w:t>类基金份额的基金资产净值的</w:t>
      </w:r>
      <w:r>
        <w:rPr>
          <w:rFonts w:ascii="仿宋" w:eastAsia="仿宋" w:hAnsi="仿宋"/>
          <w:color w:val="000000"/>
          <w:sz w:val="28"/>
          <w:szCs w:val="28"/>
        </w:rPr>
        <w:t>0.</w:t>
      </w:r>
      <w:r w:rsidR="005771CA">
        <w:rPr>
          <w:rFonts w:ascii="仿宋" w:eastAsia="仿宋" w:hAnsi="仿宋"/>
          <w:color w:val="000000"/>
          <w:sz w:val="28"/>
          <w:szCs w:val="28"/>
        </w:rPr>
        <w:t>6</w:t>
      </w:r>
      <w:r>
        <w:rPr>
          <w:rFonts w:ascii="仿宋" w:eastAsia="仿宋" w:hAnsi="仿宋" w:hint="eastAsia"/>
          <w:color w:val="000000"/>
          <w:sz w:val="28"/>
          <w:szCs w:val="28"/>
        </w:rPr>
        <w:t>%年费率计提。计算方法如下：</w:t>
      </w:r>
    </w:p>
    <w:p w14:paraId="3BA6F625" w14:textId="5089134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H＝</w:t>
      </w:r>
      <w:r w:rsidR="00A0339F">
        <w:rPr>
          <w:rFonts w:ascii="仿宋" w:eastAsia="仿宋" w:hAnsi="仿宋"/>
          <w:color w:val="000000"/>
          <w:sz w:val="28"/>
          <w:szCs w:val="28"/>
        </w:rPr>
        <w:t>V</w:t>
      </w:r>
      <w:r>
        <w:rPr>
          <w:rFonts w:ascii="仿宋" w:eastAsia="仿宋" w:hAnsi="仿宋" w:hint="eastAsia"/>
          <w:color w:val="000000"/>
          <w:sz w:val="28"/>
          <w:szCs w:val="28"/>
        </w:rPr>
        <w:t>×</w:t>
      </w:r>
      <w:r>
        <w:rPr>
          <w:rFonts w:ascii="仿宋" w:eastAsia="仿宋" w:hAnsi="仿宋"/>
          <w:color w:val="000000"/>
          <w:sz w:val="28"/>
          <w:szCs w:val="28"/>
        </w:rPr>
        <w:t>0.</w:t>
      </w:r>
      <w:r w:rsidR="005771CA">
        <w:rPr>
          <w:rFonts w:ascii="仿宋" w:eastAsia="仿宋" w:hAnsi="仿宋"/>
          <w:color w:val="000000"/>
          <w:sz w:val="28"/>
          <w:szCs w:val="28"/>
        </w:rPr>
        <w:t>6</w:t>
      </w:r>
      <w:r>
        <w:rPr>
          <w:rFonts w:ascii="仿宋" w:eastAsia="仿宋" w:hAnsi="仿宋" w:hint="eastAsia"/>
          <w:color w:val="000000"/>
          <w:sz w:val="28"/>
          <w:szCs w:val="28"/>
        </w:rPr>
        <w:t>%÷当年天数</w:t>
      </w:r>
    </w:p>
    <w:p w14:paraId="0F3DAF81" w14:textId="059FAAE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H 为 C</w:t>
      </w:r>
      <w:r w:rsidR="00A0339F">
        <w:rPr>
          <w:rFonts w:ascii="仿宋" w:eastAsia="仿宋" w:hAnsi="仿宋"/>
          <w:color w:val="000000"/>
          <w:sz w:val="28"/>
          <w:szCs w:val="28"/>
        </w:rPr>
        <w:t>/E</w:t>
      </w:r>
      <w:r>
        <w:rPr>
          <w:rFonts w:ascii="仿宋" w:eastAsia="仿宋" w:hAnsi="仿宋" w:hint="eastAsia"/>
          <w:color w:val="000000"/>
          <w:sz w:val="28"/>
          <w:szCs w:val="28"/>
        </w:rPr>
        <w:t xml:space="preserve"> 类基金份额每日应计提的销售服务费</w:t>
      </w:r>
    </w:p>
    <w:p w14:paraId="4C8294F8" w14:textId="35B597F5" w:rsidR="00ED7E69" w:rsidRDefault="00A0339F">
      <w:pPr>
        <w:pStyle w:val="21"/>
        <w:rPr>
          <w:rFonts w:ascii="仿宋" w:eastAsia="仿宋" w:hAnsi="仿宋"/>
          <w:color w:val="000000"/>
          <w:sz w:val="28"/>
          <w:szCs w:val="28"/>
        </w:rPr>
      </w:pPr>
      <w:r>
        <w:rPr>
          <w:rFonts w:ascii="仿宋" w:eastAsia="仿宋" w:hAnsi="仿宋"/>
          <w:color w:val="000000"/>
          <w:sz w:val="28"/>
          <w:szCs w:val="28"/>
        </w:rPr>
        <w:t>V</w:t>
      </w:r>
      <w:r>
        <w:rPr>
          <w:rFonts w:ascii="仿宋" w:eastAsia="仿宋" w:hAnsi="仿宋" w:hint="eastAsia"/>
          <w:color w:val="000000"/>
          <w:sz w:val="28"/>
          <w:szCs w:val="28"/>
        </w:rPr>
        <w:t xml:space="preserve"> 为 C</w:t>
      </w:r>
      <w:r>
        <w:rPr>
          <w:rFonts w:ascii="仿宋" w:eastAsia="仿宋" w:hAnsi="仿宋"/>
          <w:color w:val="000000"/>
          <w:sz w:val="28"/>
          <w:szCs w:val="28"/>
        </w:rPr>
        <w:t>/E</w:t>
      </w:r>
      <w:r>
        <w:rPr>
          <w:rFonts w:ascii="仿宋" w:eastAsia="仿宋" w:hAnsi="仿宋" w:hint="eastAsia"/>
          <w:color w:val="000000"/>
          <w:sz w:val="28"/>
          <w:szCs w:val="28"/>
        </w:rPr>
        <w:t xml:space="preserve"> 类基金份额前一日基金资产净值</w:t>
      </w:r>
    </w:p>
    <w:p w14:paraId="4899D545" w14:textId="792D360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销售服务费每日计算，逐日累计至每个月月底，按月支付，由基金托管人根据基金管理人的指令并</w:t>
      </w:r>
      <w:r>
        <w:rPr>
          <w:rFonts w:ascii="仿宋" w:eastAsia="仿宋" w:hAnsi="仿宋"/>
          <w:color w:val="000000"/>
          <w:sz w:val="28"/>
          <w:szCs w:val="28"/>
        </w:rPr>
        <w:t>进行复核后，</w:t>
      </w:r>
      <w:r>
        <w:rPr>
          <w:rFonts w:ascii="仿宋" w:eastAsia="仿宋" w:hAnsi="仿宋" w:hint="eastAsia"/>
          <w:color w:val="000000"/>
          <w:sz w:val="28"/>
          <w:szCs w:val="28"/>
        </w:rPr>
        <w:t>于次月前</w:t>
      </w:r>
      <w:r>
        <w:rPr>
          <w:rFonts w:ascii="仿宋" w:eastAsia="仿宋" w:hAnsi="仿宋"/>
          <w:color w:val="000000"/>
          <w:sz w:val="28"/>
          <w:szCs w:val="28"/>
        </w:rPr>
        <w:t xml:space="preserve"> 5 </w:t>
      </w:r>
      <w:r>
        <w:rPr>
          <w:rFonts w:ascii="仿宋" w:eastAsia="仿宋" w:hAnsi="仿宋" w:hint="eastAsia"/>
          <w:color w:val="000000"/>
          <w:sz w:val="28"/>
          <w:szCs w:val="28"/>
        </w:rPr>
        <w:t>个工作日内从基金资产中一次性支付。若遇法定节假日、休息日或不可抗力致使无法按时支付的</w:t>
      </w:r>
      <w:bookmarkStart w:id="40" w:name="_Hlk187768296"/>
      <w:r>
        <w:rPr>
          <w:rFonts w:ascii="仿宋" w:eastAsia="仿宋" w:hAnsi="仿宋" w:hint="eastAsia"/>
          <w:color w:val="000000"/>
          <w:sz w:val="28"/>
          <w:szCs w:val="28"/>
        </w:rPr>
        <w:t>，支付日期顺延</w:t>
      </w:r>
      <w:bookmarkEnd w:id="40"/>
      <w:r>
        <w:rPr>
          <w:rFonts w:ascii="仿宋" w:eastAsia="仿宋" w:hAnsi="仿宋"/>
          <w:color w:val="000000"/>
          <w:sz w:val="28"/>
          <w:szCs w:val="28"/>
        </w:rPr>
        <w:t>。</w:t>
      </w:r>
    </w:p>
    <w:p w14:paraId="62749B10" w14:textId="0EFF97B5" w:rsidP="007F0378" w:rsidR="00ED7E69" w:rsidRDefault="00083714" w:rsidRPr="007F0378">
      <w:pPr>
        <w:pStyle w:val="21"/>
        <w:rPr>
          <w:rFonts w:ascii="仿宋" w:eastAsia="仿宋" w:hAnsi="仿宋"/>
          <w:color w:val="000000"/>
          <w:sz w:val="28"/>
          <w:szCs w:val="28"/>
        </w:rPr>
      </w:pPr>
      <w:bookmarkStart w:id="41" w:name="_Hlk187768338"/>
      <w:r>
        <w:rPr>
          <w:rFonts w:ascii="仿宋" w:eastAsia="仿宋" w:hAnsi="仿宋" w:hint="eastAsia"/>
          <w:color w:val="000000"/>
          <w:sz w:val="28"/>
          <w:szCs w:val="28"/>
        </w:rPr>
        <w:t>11.4</w:t>
      </w:r>
      <w:r w:rsidRPr="007F0378">
        <w:rPr>
          <w:rFonts w:ascii="仿宋" w:eastAsia="仿宋" w:hAnsi="仿宋" w:hint="eastAsia"/>
          <w:color w:val="000000"/>
          <w:sz w:val="28"/>
          <w:szCs w:val="28"/>
        </w:rPr>
        <w:t>在本基金投资者赎回确认日和基金终止日，</w:t>
      </w:r>
      <w:r>
        <w:rPr>
          <w:rFonts w:ascii="仿宋" w:eastAsia="仿宋" w:hAnsi="仿宋" w:hint="eastAsia"/>
          <w:color w:val="000000"/>
          <w:sz w:val="28"/>
          <w:szCs w:val="28"/>
        </w:rPr>
        <w:t>基金</w:t>
      </w:r>
      <w:r w:rsidRPr="007F0378">
        <w:rPr>
          <w:rFonts w:ascii="仿宋" w:eastAsia="仿宋" w:hAnsi="仿宋" w:hint="eastAsia"/>
          <w:color w:val="000000"/>
          <w:sz w:val="28"/>
          <w:szCs w:val="28"/>
        </w:rPr>
        <w:t>管理人将根据投资者的期间年化收益率（</w:t>
      </w:r>
      <w:r w:rsidRPr="007F0378">
        <w:rPr>
          <w:rFonts w:ascii="仿宋" w:eastAsia="仿宋" w:hAnsi="仿宋"/>
          <w:color w:val="000000"/>
          <w:sz w:val="28"/>
          <w:szCs w:val="28"/>
        </w:rPr>
        <w:t>R</w:t>
      </w:r>
      <w:r w:rsidRPr="007F0378">
        <w:rPr>
          <w:rFonts w:ascii="仿宋" w:eastAsia="仿宋" w:hAnsi="仿宋" w:hint="eastAsia"/>
          <w:color w:val="000000"/>
          <w:sz w:val="28"/>
          <w:szCs w:val="28"/>
        </w:rPr>
        <w:t>），对</w:t>
      </w:r>
      <w:bookmarkStart w:id="42" w:name="_Hlk19709313"/>
      <w:r w:rsidRPr="007F0378">
        <w:rPr>
          <w:rFonts w:ascii="仿宋" w:eastAsia="仿宋" w:hAnsi="仿宋"/>
          <w:color w:val="000000"/>
          <w:sz w:val="28"/>
          <w:szCs w:val="28"/>
        </w:rPr>
        <w:t>A</w:t>
      </w:r>
      <w:r w:rsidRPr="007F0378">
        <w:rPr>
          <w:rFonts w:ascii="仿宋" w:eastAsia="仿宋" w:hAnsi="仿宋" w:hint="eastAsia"/>
          <w:color w:val="000000"/>
          <w:sz w:val="28"/>
          <w:szCs w:val="28"/>
        </w:rPr>
        <w:t>类、</w:t>
      </w:r>
      <w:r w:rsidRPr="007F0378">
        <w:rPr>
          <w:rFonts w:ascii="仿宋" w:eastAsia="仿宋" w:hAnsi="仿宋"/>
          <w:color w:val="000000"/>
          <w:sz w:val="28"/>
          <w:szCs w:val="28"/>
        </w:rPr>
        <w:t>B</w:t>
      </w:r>
      <w:r w:rsidRPr="007F0378">
        <w:rPr>
          <w:rFonts w:ascii="仿宋" w:eastAsia="仿宋" w:hAnsi="仿宋" w:hint="eastAsia"/>
          <w:color w:val="000000"/>
          <w:sz w:val="28"/>
          <w:szCs w:val="28"/>
        </w:rPr>
        <w:t>类或</w:t>
      </w:r>
      <w:r w:rsidRPr="007F0378">
        <w:rPr>
          <w:rFonts w:ascii="仿宋" w:eastAsia="仿宋" w:hAnsi="仿宋"/>
          <w:color w:val="000000"/>
          <w:sz w:val="28"/>
          <w:szCs w:val="28"/>
        </w:rPr>
        <w:t>C</w:t>
      </w:r>
      <w:r w:rsidRPr="007F0378">
        <w:rPr>
          <w:rFonts w:ascii="仿宋" w:eastAsia="仿宋" w:hAnsi="仿宋" w:hint="eastAsia"/>
          <w:color w:val="000000"/>
          <w:sz w:val="28"/>
          <w:szCs w:val="28"/>
        </w:rPr>
        <w:t>类</w:t>
      </w:r>
      <w:bookmarkEnd w:id="42"/>
      <w:r w:rsidRPr="007F0378">
        <w:rPr>
          <w:rFonts w:ascii="仿宋" w:eastAsia="仿宋" w:hAnsi="仿宋" w:hint="eastAsia"/>
          <w:color w:val="000000"/>
          <w:sz w:val="28"/>
          <w:szCs w:val="28"/>
        </w:rPr>
        <w:t>基金份额期间年化收益率超过</w:t>
      </w:r>
      <w:r w:rsidRPr="007F0378">
        <w:rPr>
          <w:rFonts w:ascii="仿宋" w:eastAsia="仿宋" w:hAnsi="仿宋"/>
          <w:color w:val="000000"/>
          <w:sz w:val="28"/>
          <w:szCs w:val="28"/>
        </w:rPr>
        <w:t>8%</w:t>
      </w:r>
      <w:r w:rsidRPr="007F0378">
        <w:rPr>
          <w:rFonts w:ascii="仿宋" w:eastAsia="仿宋" w:hAnsi="仿宋" w:hint="eastAsia"/>
          <w:color w:val="000000"/>
          <w:sz w:val="28"/>
          <w:szCs w:val="28"/>
        </w:rPr>
        <w:t>以上部分按照</w:t>
      </w:r>
      <w:r w:rsidRPr="007F0378">
        <w:rPr>
          <w:rFonts w:ascii="仿宋" w:eastAsia="仿宋" w:hAnsi="仿宋"/>
          <w:color w:val="000000"/>
          <w:sz w:val="28"/>
          <w:szCs w:val="28"/>
        </w:rPr>
        <w:t>20%</w:t>
      </w:r>
      <w:r w:rsidRPr="007F0378">
        <w:rPr>
          <w:rFonts w:ascii="仿宋" w:eastAsia="仿宋" w:hAnsi="仿宋" w:hint="eastAsia"/>
          <w:color w:val="000000"/>
          <w:sz w:val="28"/>
          <w:szCs w:val="28"/>
        </w:rPr>
        <w:t>的比例收取管理人业绩报酬（以下简称“业绩报酬”）。在本基金分红确认日，管理人将根据投资者的期间年化收益率（</w:t>
      </w:r>
      <w:r w:rsidRPr="007F0378">
        <w:rPr>
          <w:rFonts w:ascii="仿宋" w:eastAsia="仿宋" w:hAnsi="仿宋"/>
          <w:color w:val="000000"/>
          <w:sz w:val="28"/>
          <w:szCs w:val="28"/>
        </w:rPr>
        <w:t>R</w:t>
      </w:r>
      <w:r w:rsidRPr="007F0378">
        <w:rPr>
          <w:rFonts w:ascii="仿宋" w:eastAsia="仿宋" w:hAnsi="仿宋" w:hint="eastAsia"/>
          <w:color w:val="000000"/>
          <w:sz w:val="28"/>
          <w:szCs w:val="28"/>
        </w:rPr>
        <w:t>），对</w:t>
      </w:r>
      <w:r w:rsidRPr="007F0378">
        <w:rPr>
          <w:rFonts w:ascii="仿宋" w:eastAsia="仿宋" w:hAnsi="仿宋"/>
          <w:color w:val="000000"/>
          <w:sz w:val="28"/>
          <w:szCs w:val="28"/>
        </w:rPr>
        <w:t>A</w:t>
      </w:r>
      <w:r w:rsidRPr="007F0378">
        <w:rPr>
          <w:rFonts w:ascii="仿宋" w:eastAsia="仿宋" w:hAnsi="仿宋" w:hint="eastAsia"/>
          <w:color w:val="000000"/>
          <w:sz w:val="28"/>
          <w:szCs w:val="28"/>
        </w:rPr>
        <w:t>类基金份额期间年化收益率超过</w:t>
      </w:r>
      <w:r w:rsidRPr="007F0378">
        <w:rPr>
          <w:rFonts w:ascii="仿宋" w:eastAsia="仿宋" w:hAnsi="仿宋"/>
          <w:color w:val="000000"/>
          <w:sz w:val="28"/>
          <w:szCs w:val="28"/>
        </w:rPr>
        <w:t>8%</w:t>
      </w:r>
      <w:r w:rsidRPr="007F0378">
        <w:rPr>
          <w:rFonts w:ascii="仿宋" w:eastAsia="仿宋" w:hAnsi="仿宋" w:hint="eastAsia"/>
          <w:color w:val="000000"/>
          <w:sz w:val="28"/>
          <w:szCs w:val="28"/>
        </w:rPr>
        <w:t>以上部分按照</w:t>
      </w:r>
      <w:r w:rsidRPr="007F0378">
        <w:rPr>
          <w:rFonts w:ascii="仿宋" w:eastAsia="仿宋" w:hAnsi="仿宋"/>
          <w:color w:val="000000"/>
          <w:sz w:val="28"/>
          <w:szCs w:val="28"/>
        </w:rPr>
        <w:t>20%</w:t>
      </w:r>
      <w:r w:rsidRPr="007F0378">
        <w:rPr>
          <w:rFonts w:ascii="仿宋" w:eastAsia="仿宋" w:hAnsi="仿宋" w:hint="eastAsia"/>
          <w:color w:val="000000"/>
          <w:sz w:val="28"/>
          <w:szCs w:val="28"/>
        </w:rPr>
        <w:t>的比例收取业绩报酬。</w:t>
      </w:r>
      <w:r w:rsidR="00A0339F" w:rsidRPr="00A0339F">
        <w:rPr>
          <w:rFonts w:ascii="仿宋" w:eastAsia="仿宋" w:hAnsi="仿宋" w:hint="eastAsia"/>
          <w:color w:val="000000"/>
          <w:sz w:val="28"/>
          <w:szCs w:val="28"/>
        </w:rPr>
        <w:t>本基金D、E类基金份额不收取业绩报酬。</w:t>
      </w:r>
    </w:p>
    <w:p w14:paraId="2E6D9F5D" w14:textId="478205D1" w:rsidP="007F0378" w:rsidR="00ED7E69" w:rsidRDefault="00083714" w:rsidRPr="007F0378">
      <w:pPr>
        <w:pStyle w:val="21"/>
        <w:rPr>
          <w:rFonts w:ascii="仿宋" w:eastAsia="仿宋" w:hAnsi="仿宋"/>
          <w:color w:val="000000"/>
          <w:sz w:val="28"/>
          <w:szCs w:val="28"/>
        </w:rPr>
      </w:pPr>
      <w:bookmarkStart w:id="43" w:name="_Hlk534892819"/>
      <w:bookmarkEnd w:id="43"/>
      <w:r w:rsidRPr="007F0378">
        <w:rPr>
          <w:rFonts w:ascii="仿宋" w:eastAsia="仿宋" w:hAnsi="仿宋" w:hint="eastAsia"/>
          <w:color w:val="000000"/>
          <w:sz w:val="28"/>
          <w:szCs w:val="28"/>
        </w:rPr>
        <w:t>（</w:t>
      </w:r>
      <w:r w:rsidRPr="007F0378">
        <w:rPr>
          <w:rFonts w:ascii="仿宋" w:eastAsia="仿宋" w:hAnsi="仿宋"/>
          <w:color w:val="000000"/>
          <w:sz w:val="28"/>
          <w:szCs w:val="28"/>
        </w:rPr>
        <w:t>1</w:t>
      </w:r>
      <w:r w:rsidRPr="007F0378">
        <w:rPr>
          <w:rFonts w:ascii="仿宋" w:eastAsia="仿宋" w:hAnsi="仿宋" w:hint="eastAsia"/>
          <w:color w:val="000000"/>
          <w:sz w:val="28"/>
          <w:szCs w:val="28"/>
        </w:rPr>
        <w:t>）业绩报酬计提原则</w:t>
      </w:r>
    </w:p>
    <w:p w14:paraId="3E877180" w14:textId="129373F0"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①按投资者</w:t>
      </w:r>
      <w:r w:rsidR="00A0339F">
        <w:rPr>
          <w:rFonts w:ascii="仿宋" w:eastAsia="仿宋" w:hAnsi="仿宋" w:hint="eastAsia"/>
          <w:color w:val="000000"/>
          <w:sz w:val="28"/>
          <w:szCs w:val="28"/>
        </w:rPr>
        <w:t>持有的</w:t>
      </w:r>
      <w:r w:rsidRPr="007F0378">
        <w:rPr>
          <w:rFonts w:ascii="仿宋" w:eastAsia="仿宋" w:hAnsi="仿宋" w:hint="eastAsia"/>
          <w:color w:val="000000"/>
          <w:sz w:val="28"/>
          <w:szCs w:val="28"/>
        </w:rPr>
        <w:t>每笔</w:t>
      </w:r>
      <w:r w:rsidR="00A0339F" w:rsidRPr="00A0339F">
        <w:rPr>
          <w:rFonts w:ascii="仿宋" w:eastAsia="仿宋" w:hAnsi="仿宋" w:hint="eastAsia"/>
          <w:color w:val="000000"/>
          <w:sz w:val="28"/>
          <w:szCs w:val="28"/>
        </w:rPr>
        <w:t>A、B、C类基金</w:t>
      </w:r>
      <w:r w:rsidRPr="007F0378">
        <w:rPr>
          <w:rFonts w:ascii="仿宋" w:eastAsia="仿宋" w:hAnsi="仿宋" w:hint="eastAsia"/>
          <w:color w:val="000000"/>
          <w:sz w:val="28"/>
          <w:szCs w:val="28"/>
        </w:rPr>
        <w:t>份额分别计算期间年化收益率并计提业绩报酬。</w:t>
      </w:r>
    </w:p>
    <w:p w14:paraId="6D1A169C" w14:textId="6C88AC18"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②在符合业绩报酬计提条件时，在本基金分红确认日（仅涉及</w:t>
      </w:r>
      <w:r w:rsidRPr="007F0378">
        <w:rPr>
          <w:rFonts w:ascii="仿宋" w:eastAsia="仿宋" w:hAnsi="仿宋"/>
          <w:color w:val="000000"/>
          <w:sz w:val="28"/>
          <w:szCs w:val="28"/>
        </w:rPr>
        <w:t>A</w:t>
      </w:r>
      <w:r w:rsidRPr="007F0378">
        <w:rPr>
          <w:rFonts w:ascii="仿宋" w:eastAsia="仿宋" w:hAnsi="仿宋" w:hint="eastAsia"/>
          <w:color w:val="000000"/>
          <w:sz w:val="28"/>
          <w:szCs w:val="28"/>
        </w:rPr>
        <w:t>类基金份额）、投资者赎回确认日或基金终止日计提业绩报酬。</w:t>
      </w:r>
    </w:p>
    <w:p w14:paraId="1CE25A15" w14:textId="4A75F7D9"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③在投资者赎回或本基金终止时提取业绩报酬的，业绩报酬从赎回资金或清算资金中扣除。基金分红确认日提取业绩报酬的（仅涉及</w:t>
      </w:r>
      <w:r w:rsidRPr="007F0378">
        <w:rPr>
          <w:rFonts w:ascii="仿宋" w:eastAsia="仿宋" w:hAnsi="仿宋"/>
          <w:color w:val="000000"/>
          <w:sz w:val="28"/>
          <w:szCs w:val="28"/>
        </w:rPr>
        <w:t>A</w:t>
      </w:r>
      <w:r w:rsidRPr="007F0378">
        <w:rPr>
          <w:rFonts w:ascii="仿宋" w:eastAsia="仿宋" w:hAnsi="仿宋" w:hint="eastAsia"/>
          <w:color w:val="000000"/>
          <w:sz w:val="28"/>
          <w:szCs w:val="28"/>
        </w:rPr>
        <w:t>类基金份额），业绩报酬从分红资金中扣除且不超过分红资金。</w:t>
      </w:r>
    </w:p>
    <w:p w14:paraId="32A69166" w14:textId="0D676EF8"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④在投资者赎回或基金终止时，业绩报酬按投资者赎回份额或基金终止时持有份额计算。如赎回份额为一笔申购份额的一部分，则将该赎回份额单独核算业绩报酬，而该笔申购的剩余部分不受影响。</w:t>
      </w:r>
    </w:p>
    <w:p w14:paraId="3B24D19E" w14:textId="5868608C"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w:t>
      </w:r>
      <w:r w:rsidRPr="007F0378">
        <w:rPr>
          <w:rFonts w:ascii="仿宋" w:eastAsia="仿宋" w:hAnsi="仿宋"/>
          <w:color w:val="000000"/>
          <w:sz w:val="28"/>
          <w:szCs w:val="28"/>
        </w:rPr>
        <w:t>2</w:t>
      </w:r>
      <w:r w:rsidRPr="007F0378">
        <w:rPr>
          <w:rFonts w:ascii="仿宋" w:eastAsia="仿宋" w:hAnsi="仿宋" w:hint="eastAsia"/>
          <w:color w:val="000000"/>
          <w:sz w:val="28"/>
          <w:szCs w:val="28"/>
        </w:rPr>
        <w:t>）业绩报酬计提方法</w:t>
      </w:r>
    </w:p>
    <w:p w14:paraId="0E8A72E4" w14:textId="21F2FA33"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业绩报酬计提基准日为本基金的分红权益登记日（仅涉及</w:t>
      </w:r>
      <w:r w:rsidRPr="007F0378">
        <w:rPr>
          <w:rFonts w:ascii="仿宋" w:eastAsia="仿宋" w:hAnsi="仿宋"/>
          <w:color w:val="000000"/>
          <w:sz w:val="28"/>
          <w:szCs w:val="28"/>
        </w:rPr>
        <w:t>A</w:t>
      </w:r>
      <w:r w:rsidRPr="007F0378">
        <w:rPr>
          <w:rFonts w:ascii="仿宋" w:eastAsia="仿宋" w:hAnsi="仿宋" w:hint="eastAsia"/>
          <w:color w:val="000000"/>
          <w:sz w:val="28"/>
          <w:szCs w:val="28"/>
        </w:rPr>
        <w:t>类基金份额，若有）、赎回申请日和基金终止日。业绩报酬计提日为本基金分红确认日（仅涉及</w:t>
      </w:r>
      <w:r w:rsidRPr="007F0378">
        <w:rPr>
          <w:rFonts w:ascii="仿宋" w:eastAsia="仿宋" w:hAnsi="仿宋"/>
          <w:color w:val="000000"/>
          <w:sz w:val="28"/>
          <w:szCs w:val="28"/>
        </w:rPr>
        <w:t>A</w:t>
      </w:r>
      <w:r w:rsidRPr="007F0378">
        <w:rPr>
          <w:rFonts w:ascii="仿宋" w:eastAsia="仿宋" w:hAnsi="仿宋" w:hint="eastAsia"/>
          <w:color w:val="000000"/>
          <w:sz w:val="28"/>
          <w:szCs w:val="28"/>
        </w:rPr>
        <w:t>类基金份额）、投资者赎回确认日或基金终止日。业绩报酬的计提，以上一个业绩报酬计提基准日</w:t>
      </w:r>
      <w:r w:rsidR="00A0339F" w:rsidRPr="00A0339F">
        <w:rPr>
          <w:rFonts w:ascii="仿宋" w:eastAsia="仿宋" w:hAnsi="仿宋" w:hint="eastAsia"/>
          <w:color w:val="000000"/>
          <w:sz w:val="28"/>
          <w:szCs w:val="28"/>
        </w:rPr>
        <w:t>（以下简称“上一个业绩报酬计提基准日”，此处连续计算原中信证券卓越成长两年持有期混合型集合资产管理计划存续期内的业绩报酬计提基准日，下同）</w:t>
      </w:r>
      <w:r w:rsidRPr="007F0378">
        <w:rPr>
          <w:rFonts w:ascii="仿宋" w:eastAsia="仿宋" w:hAnsi="仿宋" w:hint="eastAsia"/>
          <w:color w:val="000000"/>
          <w:sz w:val="28"/>
          <w:szCs w:val="28"/>
        </w:rPr>
        <w:t>至本次业绩报酬计提基准日期间为基准。</w:t>
      </w:r>
    </w:p>
    <w:p w14:paraId="1AF57ABB" w14:textId="080BEDC8" w:rsidP="007F0378" w:rsidR="00ED7E69" w:rsidRDefault="00ED7E69" w:rsidRPr="007F0378">
      <w:pPr>
        <w:pStyle w:val="21"/>
        <w:rPr>
          <w:rFonts w:ascii="仿宋" w:eastAsia="仿宋" w:hAnsi="仿宋"/>
          <w:color w:val="000000"/>
          <w:sz w:val="28"/>
          <w:szCs w:val="28"/>
        </w:rPr>
      </w:pPr>
    </w:p>
    <w:p w14:paraId="5672130D" w14:textId="4CADBE2A"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投资者赎回时，按照“先进先出”法，分别计算每一笔份额应收的管理人业绩报酬。</w:t>
      </w:r>
    </w:p>
    <w:p w14:paraId="7151BF9F" w14:textId="15422860"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①期间年化收益率计算</w:t>
      </w:r>
    </w:p>
    <w:p w14:paraId="68313829" w14:textId="103C31D7"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期间年化收益率</w:t>
      </w:r>
      <w:r w:rsidRPr="007F0378">
        <w:rPr>
          <w:rFonts w:ascii="仿宋" w:eastAsia="仿宋" w:hAnsi="仿宋"/>
          <w:color w:val="000000"/>
          <w:sz w:val="28"/>
          <w:szCs w:val="28"/>
        </w:rPr>
        <w:t>R = [</w:t>
      </w:r>
      <w:r w:rsidRPr="007F0378">
        <w:rPr>
          <w:rFonts w:ascii="仿宋" w:eastAsia="仿宋" w:hAnsi="仿宋" w:hint="eastAsia"/>
          <w:color w:val="000000"/>
          <w:sz w:val="28"/>
          <w:szCs w:val="28"/>
        </w:rPr>
        <w:t>（</w:t>
      </w:r>
      <w:r w:rsidRPr="007F0378">
        <w:rPr>
          <w:rFonts w:ascii="仿宋" w:eastAsia="仿宋" w:hAnsi="仿宋"/>
          <w:color w:val="000000"/>
          <w:sz w:val="28"/>
          <w:szCs w:val="28"/>
        </w:rPr>
        <w:t>P1-P0</w:t>
      </w:r>
      <w:r w:rsidRPr="007F0378">
        <w:rPr>
          <w:rFonts w:ascii="仿宋" w:eastAsia="仿宋" w:hAnsi="仿宋" w:hint="eastAsia"/>
          <w:color w:val="000000"/>
          <w:sz w:val="28"/>
          <w:szCs w:val="28"/>
        </w:rPr>
        <w:t>）</w:t>
      </w:r>
      <w:r w:rsidRPr="007F0378">
        <w:rPr>
          <w:rFonts w:ascii="仿宋" w:eastAsia="仿宋" w:hAnsi="仿宋"/>
          <w:color w:val="000000"/>
          <w:sz w:val="28"/>
          <w:szCs w:val="28"/>
        </w:rPr>
        <w:t xml:space="preserve">/P0x] </w:t>
      </w:r>
      <w:r w:rsidRPr="007F0378">
        <w:rPr>
          <w:rFonts w:ascii="仿宋" w:eastAsia="仿宋" w:hAnsi="仿宋" w:hint="eastAsia"/>
          <w:color w:val="000000"/>
          <w:sz w:val="28"/>
          <w:szCs w:val="28"/>
        </w:rPr>
        <w:t>×（</w:t>
      </w:r>
      <w:r w:rsidRPr="007F0378">
        <w:rPr>
          <w:rFonts w:ascii="仿宋" w:eastAsia="仿宋" w:hAnsi="仿宋"/>
          <w:color w:val="000000"/>
          <w:sz w:val="28"/>
          <w:szCs w:val="28"/>
        </w:rPr>
        <w:t>365</w:t>
      </w:r>
      <w:r w:rsidRPr="007F0378">
        <w:rPr>
          <w:rFonts w:ascii="仿宋" w:eastAsia="仿宋" w:hAnsi="仿宋" w:hint="eastAsia"/>
          <w:color w:val="000000"/>
          <w:sz w:val="28"/>
          <w:szCs w:val="28"/>
        </w:rPr>
        <w:t>÷</w:t>
      </w:r>
      <w:r w:rsidRPr="007F0378">
        <w:rPr>
          <w:rFonts w:ascii="仿宋" w:eastAsia="仿宋" w:hAnsi="仿宋"/>
          <w:color w:val="000000"/>
          <w:sz w:val="28"/>
          <w:szCs w:val="28"/>
        </w:rPr>
        <w:t>T</w:t>
      </w:r>
      <w:r w:rsidRPr="007F0378">
        <w:rPr>
          <w:rFonts w:ascii="仿宋" w:eastAsia="仿宋" w:hAnsi="仿宋" w:hint="eastAsia"/>
          <w:color w:val="000000"/>
          <w:sz w:val="28"/>
          <w:szCs w:val="28"/>
        </w:rPr>
        <w:t>）</w:t>
      </w:r>
    </w:p>
    <w:p w14:paraId="43447168" w14:textId="56FBA14D" w:rsidP="007F0378" w:rsidR="00ED7E69" w:rsidRDefault="00083714" w:rsidRPr="007F0378">
      <w:pPr>
        <w:pStyle w:val="21"/>
        <w:rPr>
          <w:rFonts w:ascii="仿宋" w:eastAsia="仿宋" w:hAnsi="仿宋"/>
          <w:color w:val="000000"/>
          <w:sz w:val="28"/>
          <w:szCs w:val="28"/>
        </w:rPr>
      </w:pPr>
      <w:r w:rsidRPr="007F0378">
        <w:rPr>
          <w:rFonts w:ascii="仿宋" w:eastAsia="仿宋" w:hAnsi="仿宋"/>
          <w:color w:val="000000"/>
          <w:sz w:val="28"/>
          <w:szCs w:val="28"/>
        </w:rPr>
        <w:t>P1=</w:t>
      </w:r>
      <w:r w:rsidRPr="007F0378">
        <w:rPr>
          <w:rFonts w:ascii="仿宋" w:eastAsia="仿宋" w:hAnsi="仿宋" w:hint="eastAsia"/>
          <w:color w:val="000000"/>
          <w:sz w:val="28"/>
          <w:szCs w:val="28"/>
        </w:rPr>
        <w:t>投资者本次业绩报酬计提基准日的份额累计净值</w:t>
      </w:r>
    </w:p>
    <w:p w14:paraId="33BF8DEE" w14:textId="5E55F2C5" w:rsidP="007F0378" w:rsidR="00ED7E69" w:rsidRDefault="00083714" w:rsidRPr="007F0378">
      <w:pPr>
        <w:pStyle w:val="21"/>
        <w:rPr>
          <w:rFonts w:ascii="仿宋" w:eastAsia="仿宋" w:hAnsi="仿宋"/>
          <w:color w:val="000000"/>
          <w:sz w:val="28"/>
          <w:szCs w:val="28"/>
        </w:rPr>
      </w:pPr>
      <w:r w:rsidRPr="007F0378">
        <w:rPr>
          <w:rFonts w:ascii="仿宋" w:eastAsia="仿宋" w:hAnsi="仿宋"/>
          <w:color w:val="000000"/>
          <w:sz w:val="28"/>
          <w:szCs w:val="28"/>
        </w:rPr>
        <w:t>P0 =</w:t>
      </w:r>
      <w:r w:rsidRPr="007F0378">
        <w:rPr>
          <w:rFonts w:ascii="仿宋" w:eastAsia="仿宋" w:hAnsi="仿宋" w:hint="eastAsia"/>
          <w:color w:val="000000"/>
          <w:sz w:val="28"/>
          <w:szCs w:val="28"/>
        </w:rPr>
        <w:t>投资者上一个业绩报酬计提基准日的份额累计净值</w:t>
      </w:r>
    </w:p>
    <w:p w14:paraId="56B4B38F" w14:textId="7A52AF5F" w:rsidP="007F0378" w:rsidR="00ED7E69" w:rsidRDefault="00083714" w:rsidRPr="007F0378">
      <w:pPr>
        <w:pStyle w:val="21"/>
        <w:rPr>
          <w:rFonts w:ascii="仿宋" w:eastAsia="仿宋" w:hAnsi="仿宋"/>
          <w:color w:val="000000"/>
          <w:sz w:val="28"/>
          <w:szCs w:val="28"/>
        </w:rPr>
      </w:pPr>
      <w:r w:rsidRPr="007F0378">
        <w:rPr>
          <w:rFonts w:ascii="仿宋" w:eastAsia="仿宋" w:hAnsi="仿宋"/>
          <w:color w:val="000000"/>
          <w:sz w:val="28"/>
          <w:szCs w:val="28"/>
        </w:rPr>
        <w:t>P0x =</w:t>
      </w:r>
      <w:r w:rsidRPr="007F0378">
        <w:rPr>
          <w:rFonts w:ascii="仿宋" w:eastAsia="仿宋" w:hAnsi="仿宋" w:hint="eastAsia"/>
          <w:color w:val="000000"/>
          <w:sz w:val="28"/>
          <w:szCs w:val="28"/>
        </w:rPr>
        <w:t>投资者上一个业绩报酬计提基准日的份额净值</w:t>
      </w:r>
    </w:p>
    <w:p w14:paraId="6D595574" w14:textId="668EF878" w:rsidP="007F0378" w:rsidR="00ED7E69" w:rsidRDefault="00083714" w:rsidRPr="007F0378">
      <w:pPr>
        <w:pStyle w:val="21"/>
        <w:rPr>
          <w:rFonts w:ascii="仿宋" w:eastAsia="仿宋" w:hAnsi="仿宋"/>
          <w:color w:val="000000"/>
          <w:sz w:val="28"/>
          <w:szCs w:val="28"/>
        </w:rPr>
      </w:pPr>
      <w:r w:rsidRPr="007F0378">
        <w:rPr>
          <w:rFonts w:ascii="仿宋" w:eastAsia="仿宋" w:hAnsi="仿宋"/>
          <w:color w:val="000000"/>
          <w:sz w:val="28"/>
          <w:szCs w:val="28"/>
        </w:rPr>
        <w:t>T=</w:t>
      </w:r>
      <w:r w:rsidRPr="007F0378">
        <w:rPr>
          <w:rFonts w:ascii="仿宋" w:eastAsia="仿宋" w:hAnsi="仿宋" w:hint="eastAsia"/>
          <w:color w:val="000000"/>
          <w:sz w:val="28"/>
          <w:szCs w:val="28"/>
        </w:rPr>
        <w:t>投资者上一个业绩报酬计提日（含）到本次业绩报酬计提日（不含）的天数</w:t>
      </w:r>
    </w:p>
    <w:p w14:paraId="1730418C" w14:textId="434FCC56" w:rsidP="007F0378" w:rsidR="00ED7E69" w:rsidRDefault="00083714" w:rsidRPr="007F0378">
      <w:pPr>
        <w:pStyle w:val="21"/>
        <w:rPr>
          <w:rFonts w:ascii="仿宋" w:eastAsia="仿宋" w:hAnsi="仿宋"/>
          <w:color w:val="000000"/>
          <w:sz w:val="28"/>
          <w:szCs w:val="28"/>
        </w:rPr>
      </w:pPr>
      <w:r w:rsidRPr="007F0378">
        <w:rPr>
          <w:rFonts w:ascii="仿宋" w:eastAsia="仿宋" w:hAnsi="仿宋" w:hint="eastAsia"/>
          <w:color w:val="000000"/>
          <w:sz w:val="28"/>
          <w:szCs w:val="28"/>
        </w:rPr>
        <w:t>②</w:t>
      </w:r>
      <w:r w:rsidR="006234DF">
        <w:rPr>
          <w:rFonts w:ascii="仿宋" w:eastAsia="仿宋" w:hAnsi="仿宋" w:hint="eastAsia"/>
          <w:color w:val="000000"/>
          <w:sz w:val="28"/>
          <w:szCs w:val="28"/>
        </w:rPr>
        <w:t>基金</w:t>
      </w:r>
      <w:r w:rsidRPr="007F0378">
        <w:rPr>
          <w:rFonts w:ascii="仿宋" w:eastAsia="仿宋" w:hAnsi="仿宋" w:hint="eastAsia"/>
          <w:color w:val="000000"/>
          <w:sz w:val="28"/>
          <w:szCs w:val="28"/>
        </w:rPr>
        <w:t>管理人以超额比例的方式提取业绩报酬</w:t>
      </w:r>
    </w:p>
    <w:p w14:paraId="380AB5D3" w14:textId="3083DCB5" w:rsidR="00ED7E69" w:rsidRDefault="006234DF">
      <w:pPr>
        <w:pStyle w:val="21"/>
        <w:rPr>
          <w:rFonts w:ascii="仿宋" w:eastAsia="仿宋" w:hAnsi="仿宋"/>
          <w:color w:val="000000"/>
          <w:sz w:val="28"/>
          <w:szCs w:val="28"/>
        </w:rPr>
      </w:pPr>
      <w:r>
        <w:rPr>
          <w:rFonts w:ascii="仿宋" w:eastAsia="仿宋" w:hAnsi="仿宋" w:hint="eastAsia"/>
          <w:color w:val="000000"/>
          <w:sz w:val="28"/>
          <w:szCs w:val="28"/>
        </w:rPr>
        <w:t>基金</w:t>
      </w:r>
      <w:r w:rsidRPr="007F0378">
        <w:rPr>
          <w:rFonts w:ascii="仿宋" w:eastAsia="仿宋" w:hAnsi="仿宋" w:hint="eastAsia"/>
          <w:color w:val="000000"/>
          <w:sz w:val="28"/>
          <w:szCs w:val="28"/>
        </w:rPr>
        <w:t>管理人根据期间年化收益率对</w:t>
      </w:r>
      <w:bookmarkStart w:id="44" w:name="_Hlk19709338"/>
      <w:r w:rsidRPr="007F0378">
        <w:rPr>
          <w:rFonts w:ascii="仿宋" w:eastAsia="仿宋" w:hAnsi="仿宋" w:hint="eastAsia"/>
          <w:color w:val="000000"/>
          <w:sz w:val="28"/>
          <w:szCs w:val="28"/>
        </w:rPr>
        <w:t>A类、B类或C类</w:t>
      </w:r>
      <w:bookmarkEnd w:id="44"/>
      <w:r w:rsidRPr="007F0378">
        <w:rPr>
          <w:rFonts w:ascii="仿宋" w:eastAsia="仿宋" w:hAnsi="仿宋" w:hint="eastAsia"/>
          <w:color w:val="000000"/>
          <w:sz w:val="28"/>
          <w:szCs w:val="28"/>
        </w:rPr>
        <w:t>基金份额期间年化收益率超过</w:t>
      </w:r>
      <w:r w:rsidRPr="007F0378">
        <w:rPr>
          <w:rFonts w:ascii="仿宋" w:eastAsia="仿宋" w:hAnsi="仿宋"/>
          <w:color w:val="000000"/>
          <w:sz w:val="28"/>
          <w:szCs w:val="28"/>
        </w:rPr>
        <w:t>8%</w:t>
      </w:r>
      <w:r w:rsidRPr="007F0378">
        <w:rPr>
          <w:rFonts w:ascii="仿宋" w:eastAsia="仿宋" w:hAnsi="仿宋" w:hint="eastAsia"/>
          <w:color w:val="000000"/>
          <w:sz w:val="28"/>
          <w:szCs w:val="28"/>
        </w:rPr>
        <w:t>以上部分按照</w:t>
      </w:r>
      <w:r w:rsidRPr="007F0378">
        <w:rPr>
          <w:rFonts w:ascii="仿宋" w:eastAsia="仿宋" w:hAnsi="仿宋"/>
          <w:color w:val="000000"/>
          <w:sz w:val="28"/>
          <w:szCs w:val="28"/>
        </w:rPr>
        <w:t>20%</w:t>
      </w:r>
      <w:r w:rsidRPr="007F0378">
        <w:rPr>
          <w:rFonts w:ascii="仿宋" w:eastAsia="仿宋" w:hAnsi="仿宋" w:hint="eastAsia"/>
          <w:color w:val="000000"/>
          <w:sz w:val="28"/>
          <w:szCs w:val="28"/>
        </w:rPr>
        <w:t>的比例收取管理人业绩报酬。具体计算方式如下：</w:t>
      </w:r>
    </w:p>
    <w:tbl>
      <w:tblPr>
        <w:tblW w:type="dxa" w:w="7851"/>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firstColumn="1" w:firstRow="1" w:lastColumn="0" w:lastRow="0" w:noHBand="0" w:noVBand="1" w:val="04A0"/>
      </w:tblPr>
      <w:tblGrid>
        <w:gridCol w:w="1755"/>
        <w:gridCol w:w="1701"/>
        <w:gridCol w:w="4395"/>
      </w:tblGrid>
      <w:tr w14:paraId="7C5FF2BF" w14:textId="40C38F16" w:rsidR="00ED7E69">
        <w:trPr>
          <w:jc w:val="center"/>
        </w:trPr>
        <w:tc>
          <w:tcPr>
            <w:tcW w:type="dxa" w:w="1755"/>
            <w:tcBorders>
              <w:top w:color="000000" w:space="0" w:sz="4" w:val="single"/>
              <w:left w:color="000000" w:space="0" w:sz="4" w:val="single"/>
              <w:bottom w:color="000000" w:space="0" w:sz="4" w:val="single"/>
              <w:right w:color="000000" w:space="0" w:sz="4" w:val="single"/>
            </w:tcBorders>
          </w:tcPr>
          <w:p w14:paraId="0DEE366C" w14:textId="750D8E14" w:rsidR="00ED7E69" w:rsidRDefault="00083714">
            <w:pPr>
              <w:spacing w:before="120" w:line="360" w:lineRule="auto"/>
              <w:jc w:val="center"/>
              <w:rPr>
                <w:rFonts w:ascii="仿宋" w:cstheme="minorBidi" w:eastAsia="仿宋" w:hAnsi="仿宋"/>
                <w:color w:val="000000"/>
                <w:sz w:val="28"/>
                <w:szCs w:val="28"/>
              </w:rPr>
            </w:pPr>
            <w:r>
              <w:rPr>
                <w:rFonts w:ascii="仿宋" w:cstheme="minorBidi" w:eastAsia="仿宋" w:hAnsi="仿宋" w:hint="eastAsia"/>
                <w:color w:val="000000"/>
                <w:sz w:val="28"/>
                <w:szCs w:val="28"/>
              </w:rPr>
              <w:t>A类</w:t>
            </w:r>
            <w:r>
              <w:rPr>
                <w:rFonts w:ascii="仿宋" w:eastAsia="仿宋" w:hAnsi="仿宋" w:hint="eastAsia"/>
                <w:color w:val="000000"/>
                <w:sz w:val="28"/>
                <w:szCs w:val="28"/>
              </w:rPr>
              <w:t>、</w:t>
            </w:r>
            <w:r>
              <w:rPr>
                <w:rFonts w:ascii="仿宋" w:eastAsia="仿宋" w:hAnsi="仿宋"/>
                <w:color w:val="000000"/>
                <w:sz w:val="28"/>
                <w:szCs w:val="28"/>
              </w:rPr>
              <w:t>B</w:t>
            </w:r>
            <w:r>
              <w:rPr>
                <w:rFonts w:ascii="仿宋" w:eastAsia="仿宋" w:hAnsi="仿宋" w:hint="eastAsia"/>
                <w:color w:val="000000"/>
                <w:sz w:val="28"/>
                <w:szCs w:val="28"/>
              </w:rPr>
              <w:t>类</w:t>
            </w:r>
            <w:r>
              <w:rPr>
                <w:rFonts w:ascii="仿宋" w:eastAsia="仿宋" w:hAnsi="仿宋"/>
                <w:color w:val="000000"/>
                <w:sz w:val="28"/>
                <w:szCs w:val="28"/>
              </w:rPr>
              <w:t>或C类</w:t>
            </w:r>
            <w:r>
              <w:rPr>
                <w:rFonts w:ascii="仿宋" w:cstheme="minorBidi" w:eastAsia="仿宋" w:hAnsi="仿宋" w:hint="eastAsia"/>
                <w:color w:val="000000"/>
                <w:sz w:val="28"/>
                <w:szCs w:val="28"/>
              </w:rPr>
              <w:t>基金份额期间年化收益率</w:t>
            </w:r>
          </w:p>
        </w:tc>
        <w:tc>
          <w:tcPr>
            <w:tcW w:type="dxa" w:w="1701"/>
            <w:tcBorders>
              <w:top w:color="000000" w:space="0" w:sz="4" w:val="single"/>
              <w:left w:val="nil"/>
              <w:bottom w:color="000000" w:space="0" w:sz="4" w:val="single"/>
              <w:right w:color="000000" w:space="0" w:sz="4" w:val="single"/>
            </w:tcBorders>
          </w:tcPr>
          <w:p w14:paraId="06AA8DC0" w14:textId="2A8816D3" w:rsidR="00ED7E69" w:rsidRDefault="00083714">
            <w:pPr>
              <w:spacing w:before="120" w:line="360" w:lineRule="auto"/>
              <w:jc w:val="center"/>
              <w:rPr>
                <w:rFonts w:ascii="仿宋" w:cstheme="minorBidi" w:eastAsia="仿宋" w:hAnsi="仿宋"/>
                <w:color w:val="000000"/>
                <w:sz w:val="28"/>
                <w:szCs w:val="28"/>
              </w:rPr>
            </w:pPr>
            <w:r>
              <w:rPr>
                <w:rFonts w:ascii="仿宋" w:cstheme="minorBidi" w:eastAsia="仿宋" w:hAnsi="仿宋" w:hint="eastAsia"/>
                <w:color w:val="000000"/>
                <w:sz w:val="28"/>
                <w:szCs w:val="28"/>
              </w:rPr>
              <w:t>收取比例</w:t>
            </w:r>
          </w:p>
        </w:tc>
        <w:tc>
          <w:tcPr>
            <w:tcW w:type="dxa" w:w="4395"/>
            <w:tcBorders>
              <w:top w:color="000000" w:space="0" w:sz="4" w:val="single"/>
              <w:left w:val="nil"/>
              <w:bottom w:color="000000" w:space="0" w:sz="4" w:val="single"/>
              <w:right w:color="000000" w:space="0" w:sz="4" w:val="single"/>
            </w:tcBorders>
          </w:tcPr>
          <w:p w14:paraId="580CC149" w14:textId="575A5D8B" w:rsidR="00ED7E69" w:rsidRDefault="00083714">
            <w:pPr>
              <w:spacing w:before="120" w:line="360" w:lineRule="auto"/>
              <w:jc w:val="center"/>
              <w:rPr>
                <w:rFonts w:ascii="仿宋" w:cstheme="minorBidi" w:eastAsia="仿宋" w:hAnsi="仿宋"/>
                <w:color w:val="000000"/>
                <w:sz w:val="28"/>
                <w:szCs w:val="28"/>
              </w:rPr>
            </w:pPr>
            <w:r>
              <w:rPr>
                <w:rFonts w:ascii="仿宋" w:cstheme="minorBidi" w:eastAsia="仿宋" w:hAnsi="仿宋" w:hint="eastAsia"/>
                <w:color w:val="000000"/>
                <w:sz w:val="28"/>
                <w:szCs w:val="28"/>
              </w:rPr>
              <w:t>管理人业绩报酬计算公式</w:t>
            </w:r>
          </w:p>
        </w:tc>
      </w:tr>
      <w:tr w14:paraId="4642E8AD" w14:textId="60A83DA1" w:rsidR="00ED7E69">
        <w:trPr>
          <w:jc w:val="center"/>
        </w:trPr>
        <w:tc>
          <w:tcPr>
            <w:tcW w:type="dxa" w:w="1755"/>
            <w:tcBorders>
              <w:top w:color="000000" w:space="0" w:sz="4" w:val="single"/>
              <w:left w:color="000000" w:space="0" w:sz="4" w:val="single"/>
              <w:bottom w:color="000000" w:space="0" w:sz="4" w:val="single"/>
              <w:right w:color="000000" w:space="0" w:sz="4" w:val="single"/>
            </w:tcBorders>
          </w:tcPr>
          <w:p w14:paraId="07F07271" w14:textId="770970F6" w:rsidR="00ED7E69" w:rsidRDefault="00083714">
            <w:pPr>
              <w:spacing w:before="120" w:line="360" w:lineRule="auto"/>
              <w:jc w:val="center"/>
              <w:rPr>
                <w:rFonts w:ascii="仿宋" w:cstheme="minorBidi" w:eastAsia="仿宋" w:hAnsi="仿宋"/>
                <w:color w:val="000000"/>
                <w:sz w:val="28"/>
                <w:szCs w:val="28"/>
              </w:rPr>
            </w:pPr>
            <w:r>
              <w:rPr>
                <w:rFonts w:ascii="仿宋" w:cstheme="minorBidi" w:eastAsia="仿宋" w:hAnsi="仿宋" w:hint="eastAsia"/>
                <w:color w:val="000000"/>
                <w:sz w:val="28"/>
                <w:szCs w:val="28"/>
              </w:rPr>
              <w:t>R≤8％</w:t>
            </w:r>
          </w:p>
        </w:tc>
        <w:tc>
          <w:tcPr>
            <w:tcW w:type="dxa" w:w="1701"/>
            <w:tcBorders>
              <w:top w:color="000000" w:space="0" w:sz="4" w:val="single"/>
              <w:left w:val="nil"/>
              <w:bottom w:color="000000" w:space="0" w:sz="4" w:val="single"/>
              <w:right w:color="000000" w:space="0" w:sz="4" w:val="single"/>
            </w:tcBorders>
          </w:tcPr>
          <w:p w14:paraId="2E62FFA4" w14:textId="5F388207" w:rsidR="00ED7E69" w:rsidRDefault="00083714">
            <w:pPr>
              <w:spacing w:before="120" w:line="360" w:lineRule="auto"/>
              <w:jc w:val="center"/>
              <w:rPr>
                <w:rFonts w:ascii="仿宋" w:cstheme="minorBidi" w:eastAsia="仿宋" w:hAnsi="仿宋"/>
                <w:color w:val="000000"/>
                <w:sz w:val="28"/>
                <w:szCs w:val="28"/>
              </w:rPr>
            </w:pPr>
            <w:r>
              <w:rPr>
                <w:rFonts w:ascii="仿宋" w:cstheme="minorBidi" w:eastAsia="仿宋" w:hAnsi="仿宋" w:hint="eastAsia"/>
                <w:color w:val="000000"/>
                <w:sz w:val="28"/>
                <w:szCs w:val="28"/>
              </w:rPr>
              <w:t>0</w:t>
            </w:r>
          </w:p>
        </w:tc>
        <w:tc>
          <w:tcPr>
            <w:tcW w:type="dxa" w:w="4395"/>
            <w:tcBorders>
              <w:top w:color="000000" w:space="0" w:sz="4" w:val="single"/>
              <w:left w:val="nil"/>
              <w:bottom w:color="000000" w:space="0" w:sz="4" w:val="single"/>
              <w:right w:color="000000" w:space="0" w:sz="4" w:val="single"/>
            </w:tcBorders>
          </w:tcPr>
          <w:p w14:paraId="26F5FEF6" w14:textId="4065270D" w:rsidR="00ED7E69" w:rsidRDefault="00A0339F">
            <w:pPr>
              <w:spacing w:before="120" w:line="360" w:lineRule="auto"/>
              <w:jc w:val="center"/>
              <w:rPr>
                <w:rFonts w:ascii="仿宋" w:cstheme="minorBidi" w:eastAsia="仿宋" w:hAnsi="仿宋"/>
                <w:color w:val="000000"/>
                <w:sz w:val="28"/>
                <w:szCs w:val="28"/>
              </w:rPr>
            </w:pPr>
            <w:r w:rsidRPr="00A0339F">
              <w:rPr>
                <w:rFonts w:ascii="仿宋" w:cstheme="minorBidi" w:eastAsia="仿宋" w:hAnsi="仿宋"/>
                <w:color w:val="000000"/>
                <w:sz w:val="28"/>
                <w:szCs w:val="28"/>
              </w:rPr>
              <w:t>G</w:t>
            </w:r>
            <w:r>
              <w:rPr>
                <w:rFonts w:ascii="仿宋" w:cstheme="minorBidi" w:eastAsia="仿宋" w:hAnsi="仿宋" w:hint="eastAsia"/>
                <w:color w:val="000000"/>
                <w:sz w:val="28"/>
                <w:szCs w:val="28"/>
              </w:rPr>
              <w:t xml:space="preserve"> =0</w:t>
            </w:r>
          </w:p>
        </w:tc>
      </w:tr>
      <w:tr w14:paraId="11DED6DE" w14:textId="187D8C4F" w:rsidR="00ED7E69">
        <w:trPr>
          <w:jc w:val="center"/>
        </w:trPr>
        <w:tc>
          <w:tcPr>
            <w:tcW w:type="dxa" w:w="1755"/>
            <w:tcBorders>
              <w:top w:color="000000" w:space="0" w:sz="4" w:val="single"/>
              <w:left w:color="000000" w:space="0" w:sz="4" w:val="single"/>
              <w:bottom w:color="000000" w:space="0" w:sz="4" w:val="single"/>
              <w:right w:color="000000" w:space="0" w:sz="4" w:val="single"/>
            </w:tcBorders>
          </w:tcPr>
          <w:p w14:paraId="0FE50F5D" w14:textId="47DD44F1" w:rsidR="00ED7E69" w:rsidRDefault="00083714">
            <w:pPr>
              <w:spacing w:before="120" w:line="360" w:lineRule="auto"/>
              <w:jc w:val="center"/>
              <w:rPr>
                <w:rFonts w:ascii="仿宋" w:cstheme="minorBidi" w:eastAsia="仿宋" w:hAnsi="仿宋"/>
                <w:color w:val="000000"/>
                <w:sz w:val="28"/>
                <w:szCs w:val="28"/>
              </w:rPr>
            </w:pPr>
            <w:r>
              <w:rPr>
                <w:rFonts w:ascii="仿宋" w:cstheme="minorBidi" w:eastAsia="仿宋" w:hAnsi="仿宋" w:hint="eastAsia"/>
                <w:color w:val="000000"/>
                <w:sz w:val="28"/>
                <w:szCs w:val="28"/>
              </w:rPr>
              <w:t>8％＜R</w:t>
            </w:r>
          </w:p>
        </w:tc>
        <w:tc>
          <w:tcPr>
            <w:tcW w:type="dxa" w:w="1701"/>
            <w:tcBorders>
              <w:top w:color="000000" w:space="0" w:sz="4" w:val="single"/>
              <w:left w:val="nil"/>
              <w:bottom w:color="000000" w:space="0" w:sz="4" w:val="single"/>
              <w:right w:color="000000" w:space="0" w:sz="4" w:val="single"/>
            </w:tcBorders>
          </w:tcPr>
          <w:p w14:paraId="618B2672" w14:textId="4421F123" w:rsidR="00ED7E69" w:rsidRDefault="00083714">
            <w:pPr>
              <w:spacing w:before="120" w:line="360" w:lineRule="auto"/>
              <w:jc w:val="center"/>
              <w:rPr>
                <w:rFonts w:ascii="仿宋" w:cstheme="minorBidi" w:eastAsia="仿宋" w:hAnsi="仿宋"/>
                <w:color w:val="000000"/>
                <w:sz w:val="28"/>
                <w:szCs w:val="28"/>
              </w:rPr>
            </w:pPr>
            <w:r>
              <w:rPr>
                <w:rFonts w:ascii="仿宋" w:cstheme="minorBidi" w:eastAsia="仿宋" w:hAnsi="仿宋" w:hint="eastAsia"/>
                <w:color w:val="000000"/>
                <w:sz w:val="28"/>
                <w:szCs w:val="28"/>
              </w:rPr>
              <w:t>20%</w:t>
            </w:r>
          </w:p>
        </w:tc>
        <w:tc>
          <w:tcPr>
            <w:tcW w:type="dxa" w:w="4395"/>
            <w:tcBorders>
              <w:top w:color="000000" w:space="0" w:sz="4" w:val="single"/>
              <w:left w:val="nil"/>
              <w:bottom w:color="000000" w:space="0" w:sz="4" w:val="single"/>
              <w:right w:color="000000" w:space="0" w:sz="4" w:val="single"/>
            </w:tcBorders>
          </w:tcPr>
          <w:p w14:paraId="324EBE14" w14:textId="0397F6BE" w:rsidR="00ED7E69" w:rsidRDefault="00A0339F">
            <w:pPr>
              <w:spacing w:before="120" w:line="360" w:lineRule="auto"/>
              <w:jc w:val="center"/>
              <w:rPr>
                <w:rFonts w:ascii="仿宋" w:cstheme="minorBidi" w:eastAsia="仿宋" w:hAnsi="仿宋"/>
                <w:color w:val="000000"/>
                <w:sz w:val="28"/>
                <w:szCs w:val="28"/>
              </w:rPr>
            </w:pPr>
            <w:r w:rsidRPr="00A0339F">
              <w:rPr>
                <w:rFonts w:ascii="仿宋" w:eastAsia="仿宋" w:hAnsi="仿宋" w:hint="eastAsia"/>
                <w:color w:val="000000"/>
                <w:sz w:val="28"/>
                <w:szCs w:val="28"/>
              </w:rPr>
              <w:t>G</w:t>
            </w:r>
            <w:r>
              <w:rPr>
                <w:rFonts w:ascii="仿宋" w:cstheme="minorBidi" w:eastAsia="仿宋" w:hAnsi="仿宋" w:hint="eastAsia"/>
                <w:color w:val="000000"/>
                <w:sz w:val="28"/>
                <w:szCs w:val="28"/>
              </w:rPr>
              <w:t xml:space="preserve"> = N×P0x×（R-8%）×20%×( T÷365 )</w:t>
            </w:r>
          </w:p>
        </w:tc>
      </w:tr>
    </w:tbl>
    <w:p w14:paraId="2CE5AEB5" w14:textId="2154B024" w:rsidR="00ED7E69" w:rsidRDefault="00A0339F">
      <w:pPr>
        <w:pStyle w:val="21"/>
        <w:rPr>
          <w:rFonts w:ascii="仿宋" w:eastAsia="仿宋" w:hAnsi="仿宋"/>
          <w:color w:val="000000"/>
          <w:sz w:val="28"/>
          <w:szCs w:val="28"/>
        </w:rPr>
      </w:pPr>
      <w:r>
        <w:rPr>
          <w:rFonts w:ascii="仿宋" w:eastAsia="仿宋" w:hAnsi="仿宋"/>
          <w:color w:val="000000"/>
          <w:sz w:val="28"/>
          <w:szCs w:val="28"/>
        </w:rPr>
        <w:t>G</w:t>
      </w:r>
      <w:r>
        <w:rPr>
          <w:rFonts w:ascii="仿宋" w:eastAsia="仿宋" w:hAnsi="仿宋" w:hint="eastAsia"/>
          <w:color w:val="000000"/>
          <w:sz w:val="28"/>
          <w:szCs w:val="28"/>
        </w:rPr>
        <w:t>= 该笔份额对应的管理人业绩报酬</w:t>
      </w:r>
    </w:p>
    <w:p w14:paraId="026C281B" w14:textId="48F61F5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N= 投资者该笔</w:t>
      </w:r>
      <w:r w:rsidR="00A0339F">
        <w:rPr>
          <w:rFonts w:ascii="仿宋" w:eastAsia="仿宋" w:hAnsi="仿宋" w:hint="eastAsia"/>
          <w:color w:val="000000"/>
          <w:sz w:val="28"/>
          <w:szCs w:val="28"/>
        </w:rPr>
        <w:t>份额</w:t>
      </w:r>
      <w:r>
        <w:rPr>
          <w:rFonts w:ascii="仿宋" w:eastAsia="仿宋" w:hAnsi="仿宋" w:hint="eastAsia"/>
          <w:color w:val="000000"/>
          <w:sz w:val="28"/>
          <w:szCs w:val="28"/>
        </w:rPr>
        <w:t>在上一个业绩报酬计提日的份额数</w:t>
      </w:r>
    </w:p>
    <w:p w14:paraId="0A4B38D4" w14:textId="5EE1D92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③将所有</w:t>
      </w:r>
      <w:r w:rsidR="00A0339F">
        <w:rPr>
          <w:rFonts w:ascii="仿宋" w:eastAsia="仿宋" w:hAnsi="仿宋" w:hint="eastAsia"/>
          <w:color w:val="000000"/>
          <w:sz w:val="28"/>
          <w:szCs w:val="28"/>
        </w:rPr>
        <w:t>份额</w:t>
      </w:r>
      <w:r>
        <w:rPr>
          <w:rFonts w:ascii="仿宋" w:eastAsia="仿宋" w:hAnsi="仿宋" w:hint="eastAsia"/>
          <w:color w:val="000000"/>
          <w:sz w:val="28"/>
          <w:szCs w:val="28"/>
        </w:rPr>
        <w:t>笔数的管理人业绩报酬加总，得到总的管理人业绩报酬（∑</w:t>
      </w:r>
      <w:r w:rsidR="00946FA7">
        <w:rPr>
          <w:rFonts w:ascii="仿宋" w:eastAsia="仿宋" w:hAnsi="仿宋"/>
          <w:color w:val="000000"/>
          <w:sz w:val="28"/>
          <w:szCs w:val="28"/>
        </w:rPr>
        <w:t>G</w:t>
      </w:r>
      <w:r>
        <w:rPr>
          <w:rFonts w:ascii="仿宋" w:eastAsia="仿宋" w:hAnsi="仿宋" w:hint="eastAsia"/>
          <w:color w:val="000000"/>
          <w:sz w:val="28"/>
          <w:szCs w:val="28"/>
        </w:rPr>
        <w:t>）。</w:t>
      </w:r>
    </w:p>
    <w:p w14:paraId="02CFC628" w14:textId="36622CCE" w:rsidR="00ED7E69" w:rsidRDefault="00A0339F">
      <w:pPr>
        <w:pStyle w:val="21"/>
        <w:rPr>
          <w:rFonts w:ascii="仿宋" w:eastAsia="仿宋" w:hAnsi="仿宋"/>
          <w:color w:val="000000"/>
          <w:sz w:val="28"/>
          <w:szCs w:val="28"/>
        </w:rPr>
      </w:pPr>
      <w:r w:rsidRPr="00A0339F">
        <w:rPr>
          <w:rFonts w:ascii="仿宋" w:eastAsia="仿宋" w:hAnsi="仿宋" w:hint="eastAsia"/>
          <w:color w:val="000000"/>
          <w:sz w:val="28"/>
          <w:szCs w:val="28"/>
        </w:rPr>
        <w:t>∑G=G1+G2+G3+......+Gn</w:t>
      </w:r>
    </w:p>
    <w:p w14:paraId="77F1AC48" w14:textId="6F5D9C0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其中的n为所对应的</w:t>
      </w:r>
      <w:r w:rsidR="00A0339F">
        <w:rPr>
          <w:rFonts w:ascii="仿宋" w:eastAsia="仿宋" w:hAnsi="仿宋" w:hint="eastAsia"/>
          <w:color w:val="000000"/>
          <w:sz w:val="28"/>
          <w:szCs w:val="28"/>
        </w:rPr>
        <w:t>份额</w:t>
      </w:r>
      <w:r>
        <w:rPr>
          <w:rFonts w:ascii="仿宋" w:eastAsia="仿宋" w:hAnsi="仿宋" w:hint="eastAsia"/>
          <w:color w:val="000000"/>
          <w:sz w:val="28"/>
          <w:szCs w:val="28"/>
        </w:rPr>
        <w:t>笔数。</w:t>
      </w:r>
    </w:p>
    <w:bookmarkEnd w:id="41"/>
    <w:p w14:paraId="0D6B4D36" w14:textId="0E75C84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11.</w:t>
      </w:r>
      <w:r>
        <w:rPr>
          <w:rFonts w:ascii="仿宋" w:eastAsia="仿宋" w:hAnsi="仿宋"/>
          <w:color w:val="000000"/>
          <w:sz w:val="28"/>
          <w:szCs w:val="28"/>
        </w:rPr>
        <w:t>5</w:t>
      </w:r>
      <w:r>
        <w:rPr>
          <w:rFonts w:ascii="仿宋" w:eastAsia="仿宋" w:hAnsi="仿宋" w:hint="eastAsia"/>
          <w:color w:val="000000"/>
          <w:sz w:val="28"/>
          <w:szCs w:val="28"/>
        </w:rPr>
        <w:t>为基金财产及基金运作所开立账户的开户费和维护费、银行汇划费用、证券、期货交易费用、除法律法规、中国证监会另有规定外，基金合同生效后与基金相关的基金信息披露费用、基金份额持有人大会费用、基金合同生效后与基金相关的会计师费、律师费、仲裁费和诉讼费、因投资港股通标的股票而产生的各项合理费用等根据有关法规、基金合同及相应协议的规定，由基金托管人按基金管理人的划款指令并根据费用实际支出金额支付，列入或摊入当期基金费用。</w:t>
      </w:r>
    </w:p>
    <w:p w14:paraId="687DC849" w14:textId="578FFFC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11.</w:t>
      </w:r>
      <w:r>
        <w:rPr>
          <w:rFonts w:ascii="仿宋" w:eastAsia="仿宋" w:hAnsi="仿宋"/>
          <w:color w:val="000000"/>
          <w:sz w:val="28"/>
          <w:szCs w:val="28"/>
        </w:rPr>
        <w:t>6不列入基金费用的项目</w:t>
      </w:r>
      <w:r>
        <w:rPr>
          <w:rFonts w:ascii="仿宋" w:eastAsia="仿宋" w:hAnsi="仿宋" w:hint="eastAsia"/>
          <w:color w:val="000000"/>
          <w:sz w:val="28"/>
          <w:szCs w:val="28"/>
        </w:rPr>
        <w:t>：</w:t>
      </w:r>
    </w:p>
    <w:p w14:paraId="1FA86599" w14:textId="01CB8DC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管理人与基金托管人因未履行或未完全履行义务导致的费用支出或基金财产的损失，以及处理与基金运作无关的事项发生的费用等不列入基金费用。其他根据相关法律法规及中国证监会的有关规定不得列入基金费用的项目也不列入基金费用。</w:t>
      </w:r>
    </w:p>
    <w:p w14:paraId="1A4E5B6D" w14:textId="4A53C4B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11.</w:t>
      </w:r>
      <w:r>
        <w:rPr>
          <w:rFonts w:ascii="仿宋" w:eastAsia="仿宋" w:hAnsi="仿宋"/>
          <w:color w:val="000000"/>
          <w:sz w:val="28"/>
          <w:szCs w:val="28"/>
        </w:rPr>
        <w:t>7</w:t>
      </w:r>
      <w:r>
        <w:rPr>
          <w:rFonts w:ascii="仿宋" w:eastAsia="仿宋" w:hAnsi="仿宋" w:hint="eastAsia"/>
          <w:color w:val="000000"/>
          <w:sz w:val="28"/>
          <w:szCs w:val="28"/>
        </w:rPr>
        <w:t>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p>
    <w:p w14:paraId="4B162AF4" w14:textId="77777777" w:rsidR="00ED7E69" w:rsidRDefault="00ED7E69">
      <w:pPr>
        <w:pStyle w:val="21"/>
        <w:rPr>
          <w:rFonts w:ascii="仿宋" w:eastAsia="仿宋" w:hAnsi="仿宋"/>
          <w:color w:val="000000"/>
          <w:sz w:val="28"/>
          <w:szCs w:val="28"/>
        </w:rPr>
      </w:pPr>
    </w:p>
    <w:p w14:paraId="2C7AC1FC" w14:textId="77777777" w:rsidR="00ED7E69" w:rsidRDefault="00ED7E69">
      <w:pPr>
        <w:pStyle w:val="1"/>
        <w:rPr>
          <w:rFonts w:ascii="仿宋" w:eastAsia="仿宋" w:hAnsi="仿宋"/>
          <w:bCs/>
          <w:sz w:val="28"/>
          <w:szCs w:val="28"/>
        </w:rPr>
        <w:sectPr w:rsidR="00ED7E69">
          <w:footerReference r:id="rId28" w:type="default"/>
          <w:footerReference r:id="rId29" w:type="first"/>
          <w:pgSz w:h="16840" w:w="11907"/>
          <w:pgMar w:bottom="1134" w:footer="720" w:gutter="0" w:header="720" w:left="1452" w:right="1452" w:top="1361"/>
          <w:cols w:space="720"/>
          <w:docGrid w:linePitch="286"/>
        </w:sectPr>
      </w:pPr>
      <w:bookmarkStart w:id="45" w:name="_Toc296551348"/>
    </w:p>
    <w:p w14:paraId="7C70B73C" w14:textId="6F9044B2" w:rsidR="00ED7E69" w:rsidRDefault="00083714">
      <w:pPr>
        <w:pStyle w:val="1"/>
        <w:rPr>
          <w:rFonts w:ascii="仿宋" w:eastAsia="仿宋" w:hAnsi="仿宋"/>
          <w:bCs/>
          <w:sz w:val="28"/>
          <w:szCs w:val="28"/>
        </w:rPr>
      </w:pPr>
      <w:bookmarkStart w:id="46" w:name="_Toc187930232"/>
      <w:r>
        <w:rPr>
          <w:rFonts w:ascii="仿宋" w:eastAsia="仿宋" w:hAnsi="仿宋" w:hint="eastAsia"/>
          <w:bCs/>
          <w:sz w:val="28"/>
          <w:szCs w:val="28"/>
        </w:rPr>
        <w:t>第十二条 基金份额持有人名册的保管</w:t>
      </w:r>
      <w:bookmarkEnd w:id="45"/>
      <w:bookmarkEnd w:id="46"/>
    </w:p>
    <w:p w14:paraId="0B327F12" w14:textId="01B6C45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12.1基金管理人和基金托管人须分别妥善保管的基金份额持有人名册，基金份额持有人名册的内容必须包括基金份额持有人的名称和持有的基金份额。</w:t>
      </w:r>
    </w:p>
    <w:p w14:paraId="2B419C33" w14:textId="30588DC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12.2基金份额持有人名册由基金的基金登记机构根据基金管理人的指令编制和保管，基金管理人和基金托管人应按照目前相关规则分别保管基金份额持有人名册。保管方式可以采用电子或文档的形式。保管期限不少于法律法规规定的最低期限。</w:t>
      </w:r>
    </w:p>
    <w:p w14:paraId="0F120F05" w14:textId="69FA558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12.3基金管理人应当及时向基金托管人定期或不定期提交基金份额持有人名册。基金份额持有人名册的内容必须包括基金份额持有人的名称和持有的基金份额。基金托管人可以采用电子或文档的形式妥善保管基金份额持有人名册，保存期限不少于法律法规规定的最低期限。基金托管人不得将所保管的基金份额持有人名册用于基金托管业务以外的其他用途，并应遵守保密义务。</w:t>
      </w:r>
    </w:p>
    <w:p w14:paraId="42D6F906" w14:textId="628306E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12.4若基金管理人或基金托管人由于自身原因无法妥善保管基金份额持有人名册，应按有关法规规定各自承担相应的责任。</w:t>
      </w:r>
    </w:p>
    <w:p w14:paraId="4C1C3C96" w14:textId="77777777" w:rsidR="00ED7E69" w:rsidRDefault="00ED7E69">
      <w:pPr>
        <w:pStyle w:val="21"/>
        <w:rPr>
          <w:rFonts w:ascii="仿宋" w:eastAsia="仿宋" w:hAnsi="仿宋"/>
          <w:color w:val="000000"/>
          <w:sz w:val="28"/>
          <w:szCs w:val="28"/>
        </w:rPr>
      </w:pPr>
    </w:p>
    <w:p w14:paraId="724D256C" w14:textId="77777777" w:rsidR="00ED7E69" w:rsidRDefault="00ED7E69">
      <w:pPr>
        <w:pStyle w:val="1"/>
        <w:rPr>
          <w:rFonts w:ascii="仿宋" w:eastAsia="仿宋" w:hAnsi="仿宋"/>
          <w:bCs/>
          <w:sz w:val="28"/>
          <w:szCs w:val="28"/>
        </w:rPr>
        <w:sectPr w:rsidR="00ED7E69">
          <w:footerReference r:id="rId30" w:type="default"/>
          <w:pgSz w:h="16840" w:w="11907"/>
          <w:pgMar w:bottom="1134" w:footer="720" w:gutter="0" w:header="720" w:left="1452" w:right="1452" w:top="1361"/>
          <w:cols w:space="720"/>
          <w:docGrid w:linePitch="286"/>
        </w:sectPr>
      </w:pPr>
      <w:bookmarkStart w:id="47" w:name="_Toc296551349"/>
    </w:p>
    <w:p w14:paraId="14A1A5C2" w14:textId="57AC1A04" w:rsidR="00ED7E69" w:rsidRDefault="00083714">
      <w:pPr>
        <w:pStyle w:val="1"/>
        <w:rPr>
          <w:rFonts w:ascii="仿宋" w:eastAsia="仿宋" w:hAnsi="仿宋"/>
          <w:bCs/>
          <w:sz w:val="28"/>
          <w:szCs w:val="28"/>
        </w:rPr>
      </w:pPr>
      <w:bookmarkStart w:id="48" w:name="_Toc187930233"/>
      <w:r>
        <w:rPr>
          <w:rFonts w:ascii="仿宋" w:eastAsia="仿宋" w:hAnsi="仿宋" w:hint="eastAsia"/>
          <w:bCs/>
          <w:sz w:val="28"/>
          <w:szCs w:val="28"/>
        </w:rPr>
        <w:t>第十三条 基金有关文件和档案的保存</w:t>
      </w:r>
      <w:bookmarkEnd w:id="47"/>
      <w:bookmarkEnd w:id="48"/>
    </w:p>
    <w:p w14:paraId="1860D154" w14:textId="143D9ED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13.1基金管理人、基金托管人按各自职责完整保存原始凭证、记账凭证、基金账册、交易记录和重要合同等，保存期限不少于法律法规规定的最低期限，对相关信息负有保密义务，但司法强制检查情形及法律法规规定的其它情形除外。其中，基金管理人应保存基金财产管理业务活动的记录、账册、报表和其他相关资料，基金托管人应保存基金托管业务活动的记录、账册、报表和其他相关资料。</w:t>
      </w:r>
    </w:p>
    <w:p w14:paraId="554B52CA" w14:textId="2872C75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13.2基金管理人应及时将与本基金账务处理、资金划拨等有关的合同、协议传真给基金托管人。</w:t>
      </w:r>
    </w:p>
    <w:p w14:paraId="45B3EFF7" w14:textId="152659F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13.3基金管理人或基金托管人变更后，未变更的一方有义务协助接任人接受基金的有关文件。</w:t>
      </w:r>
    </w:p>
    <w:p w14:paraId="2309B5BE" w14:textId="77777777" w:rsidR="00ED7E69" w:rsidRDefault="00ED7E69">
      <w:pPr>
        <w:pStyle w:val="21"/>
        <w:rPr>
          <w:rFonts w:ascii="仿宋" w:eastAsia="仿宋" w:hAnsi="仿宋"/>
          <w:color w:val="000000"/>
          <w:sz w:val="28"/>
          <w:szCs w:val="28"/>
        </w:rPr>
      </w:pPr>
    </w:p>
    <w:p w14:paraId="468DF9CA" w14:textId="77777777" w:rsidR="00ED7E69" w:rsidRDefault="00ED7E69">
      <w:pPr>
        <w:pStyle w:val="1"/>
        <w:rPr>
          <w:rFonts w:ascii="仿宋" w:eastAsia="仿宋" w:hAnsi="仿宋"/>
          <w:bCs/>
          <w:sz w:val="28"/>
          <w:szCs w:val="28"/>
        </w:rPr>
        <w:sectPr w:rsidR="00ED7E69">
          <w:footerReference r:id="rId31" w:type="default"/>
          <w:footerReference r:id="rId32" w:type="first"/>
          <w:pgSz w:h="16840" w:w="11907"/>
          <w:pgMar w:bottom="1134" w:footer="720" w:gutter="0" w:header="720" w:left="1452" w:right="1452" w:top="1361"/>
          <w:cols w:space="720"/>
          <w:docGrid w:linePitch="286"/>
        </w:sectPr>
      </w:pPr>
      <w:bookmarkStart w:id="49" w:name="_Toc296551350"/>
    </w:p>
    <w:p w14:paraId="4FB483F6" w14:textId="3D5BFAF1" w:rsidR="00ED7E69" w:rsidRDefault="00083714">
      <w:pPr>
        <w:pStyle w:val="1"/>
        <w:rPr>
          <w:rFonts w:ascii="仿宋" w:eastAsia="仿宋" w:hAnsi="仿宋"/>
          <w:bCs/>
          <w:sz w:val="28"/>
          <w:szCs w:val="28"/>
        </w:rPr>
      </w:pPr>
      <w:bookmarkStart w:id="50" w:name="_Toc187930234"/>
      <w:r>
        <w:rPr>
          <w:rFonts w:ascii="仿宋" w:eastAsia="仿宋" w:hAnsi="仿宋" w:hint="eastAsia"/>
          <w:bCs/>
          <w:sz w:val="28"/>
          <w:szCs w:val="28"/>
        </w:rPr>
        <w:t>第十四条 基金管理人和基金托管人的更换</w:t>
      </w:r>
      <w:bookmarkEnd w:id="49"/>
      <w:bookmarkEnd w:id="50"/>
    </w:p>
    <w:p w14:paraId="5B375C71" w14:textId="77B4910F" w:rsidR="00ED7E69" w:rsidRDefault="00083714">
      <w:pPr>
        <w:pStyle w:val="21"/>
        <w:rPr>
          <w:rFonts w:ascii="仿宋" w:eastAsia="仿宋" w:hAnsi="仿宋"/>
          <w:color w:val="000000"/>
          <w:sz w:val="28"/>
          <w:szCs w:val="28"/>
        </w:rPr>
      </w:pPr>
      <w:bookmarkStart w:id="51" w:name="_Hlk187768539"/>
      <w:r>
        <w:rPr>
          <w:rFonts w:ascii="仿宋" w:eastAsia="仿宋" w:hAnsi="仿宋" w:hint="eastAsia"/>
          <w:color w:val="000000"/>
          <w:sz w:val="28"/>
          <w:szCs w:val="28"/>
        </w:rPr>
        <w:t>14.1基金管理人的更换</w:t>
      </w:r>
    </w:p>
    <w:p w14:paraId="75E2405A" w14:textId="652DE1B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14.1.1基金管理人的更换条件</w:t>
      </w:r>
    </w:p>
    <w:p w14:paraId="03CBACB8" w14:textId="2C38E74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有下列情形之一的，基金管理人职责终止：</w:t>
      </w:r>
    </w:p>
    <w:p w14:paraId="37ADB13D" w14:textId="1F5AFF2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（1）基金管理人被依法取消基金管理资格；</w:t>
      </w:r>
    </w:p>
    <w:p w14:paraId="1D7532F3" w14:textId="00FB305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（2）基金管理人依法解散、被依法撤销或者被依法宣告破产；</w:t>
      </w:r>
    </w:p>
    <w:p w14:paraId="34305A30" w14:textId="7AEA80E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（3）基金管理人被基金份额持有人大会解任；</w:t>
      </w:r>
    </w:p>
    <w:p w14:paraId="3E00A8F9" w14:textId="11604CF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（4）法律法规及中国证监会规定的和《基金合同》约定的其他情形。</w:t>
      </w:r>
    </w:p>
    <w:p w14:paraId="3A5F2183" w14:textId="3674EC1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14.1.2基金管理人的更换程序</w:t>
      </w:r>
    </w:p>
    <w:p w14:paraId="6E957C3F" w14:textId="3E929BE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更换基金管理人必须依照如下程序进行：</w:t>
      </w:r>
    </w:p>
    <w:p w14:paraId="77CC7F09" w14:textId="4E7349C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（1）提名：新任基金管理人由基金托管人或由单独或合计持有10%以上（含10%）基金份额的基金份额持有人提名；</w:t>
      </w:r>
    </w:p>
    <w:p w14:paraId="7B3269BD" w14:textId="48635BF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 xml:space="preserve">（2）决议：基金份额持有人大会在基金管理人职责终止后6个月内对被提名的基金管理人形成决议，该决议需经参加大会的基金份额持有人所持表决权的三分之二以上（含三分之二）表决通过，决议自表决通过之日起生效； </w:t>
      </w:r>
    </w:p>
    <w:p w14:paraId="580F6009" w14:textId="58FC6C6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（3）临时基金管理人：新任基金管理人产生之前，由中国证监会指定临时基金管理人；</w:t>
      </w:r>
    </w:p>
    <w:p w14:paraId="60E41428" w14:textId="6983CC5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（4）备案：基金份额持有人大会更换基金管理人的决议须报中国证监会备案；</w:t>
      </w:r>
    </w:p>
    <w:p w14:paraId="28E62909" w14:textId="06C6732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（5）公告：基金管理人更换后，由基金托管人在更换基金管理人的基金份额持有人大会决议生效后依照《信息披露办法》的有关规定在规定媒介公告；</w:t>
      </w:r>
    </w:p>
    <w:p w14:paraId="20C10454" w14:textId="426BAB0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交接：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p>
    <w:p w14:paraId="27CFDDFD" w14:textId="0E44864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（7）审计：基金管理人职责终止的，应当按照法律法规规定聘请会计师事务所对基金财产进行审计，并将审计结果予以公告，同时报中国证监会备案，审计费用在基金财产中列支；</w:t>
      </w:r>
    </w:p>
    <w:p w14:paraId="6C83F3B9" w14:textId="16F9DD0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（8）基金名称变更：基金管理人更换后，如果原任或新任基金管理人要求，应按其要求替换或删除基金名称中与原基金管理人有关的名称字样</w:t>
      </w:r>
      <w:r>
        <w:rPr>
          <w:rFonts w:ascii="仿宋" w:eastAsia="仿宋" w:hAnsi="仿宋"/>
          <w:color w:val="000000"/>
          <w:sz w:val="28"/>
          <w:szCs w:val="28"/>
        </w:rPr>
        <w:t>。</w:t>
      </w:r>
    </w:p>
    <w:p w14:paraId="1D29DE9E" w14:textId="0AA173DF" w:rsidR="00ED7E69" w:rsidRDefault="00083714">
      <w:pPr>
        <w:pStyle w:val="21"/>
        <w:rPr>
          <w:rFonts w:ascii="仿宋" w:eastAsia="仿宋" w:hAnsi="仿宋"/>
          <w:color w:val="000000"/>
          <w:sz w:val="28"/>
          <w:szCs w:val="28"/>
        </w:rPr>
      </w:pPr>
      <w:bookmarkStart w:id="52" w:name="_Toc22005975"/>
      <w:r>
        <w:rPr>
          <w:rFonts w:ascii="仿宋" w:eastAsia="仿宋" w:hAnsi="仿宋" w:hint="eastAsia"/>
          <w:color w:val="000000"/>
          <w:sz w:val="28"/>
          <w:szCs w:val="28"/>
        </w:rPr>
        <w:t>14.2基金托管人的更换</w:t>
      </w:r>
    </w:p>
    <w:p w14:paraId="6A4E2824" w14:textId="6EE6DE1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14.2.1基金托管人的更换条件：</w:t>
      </w:r>
    </w:p>
    <w:p w14:paraId="5366D7A0" w14:textId="29E22AE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有下列情形之一的，基金托管人职责终止：</w:t>
      </w:r>
    </w:p>
    <w:p w14:paraId="2B6AFA34" w14:textId="649411E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（1）基金托管人被依法取消基金托管资格；</w:t>
      </w:r>
    </w:p>
    <w:p w14:paraId="420D7801" w14:textId="1F803AD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（2）基金托管人依法解散、被依法撤销或者被依法宣布破产；</w:t>
      </w:r>
    </w:p>
    <w:p w14:paraId="19C19369" w14:textId="555CA63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（3）基金托管人被基金份额持有人大会解任；</w:t>
      </w:r>
    </w:p>
    <w:p w14:paraId="3240DCD7" w14:textId="5E60898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（4）法律法规及中国证监会规定的和《基金合同》约定的其他情形。</w:t>
      </w:r>
    </w:p>
    <w:p w14:paraId="7D64F8B2" w14:textId="3888F72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14.2.2基金托管人的更换程序</w:t>
      </w:r>
      <w:bookmarkEnd w:id="52"/>
    </w:p>
    <w:p w14:paraId="25A5C7A4" w14:textId="54A10F7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（1）提名：新任基金托管人由基金管理人或由单独或合计持有10%以上（含10%）基金份额的基金份额持有人提名；</w:t>
      </w:r>
    </w:p>
    <w:p w14:paraId="63E8A589" w14:textId="4767768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决议：基金份额持有人大会在基金托管人职责终止后6个月内对被提名的基金托管人形成决议，该决议需经参加大会的基金份额持有人所持表决权的三分之二以上（含三分之二）表决通过，决议自表决通过之日起生效；</w:t>
      </w:r>
    </w:p>
    <w:p w14:paraId="6F235321" w14:textId="2984D13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（3）临时基金托管人：新任基金托管人产生之前，由中国证监会指定临时基金托管人；</w:t>
      </w:r>
    </w:p>
    <w:p w14:paraId="39391B70" w14:textId="491FF58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（4）备案：基金份额持有人大会更换基金托管人的决议须报中国证监会备案；</w:t>
      </w:r>
    </w:p>
    <w:p w14:paraId="5EDE7AAB" w14:textId="03A30F4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（5）公告：基金托管人更换后，由基金管理人在更换基金托管人的基金份额持有人大会决议生效后依照《信息披露办法》的有关规定在规定媒介公告；</w:t>
      </w:r>
    </w:p>
    <w:p w14:paraId="1814C9F1" w14:textId="1C81A25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交接：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w:t>
      </w:r>
    </w:p>
    <w:p w14:paraId="7093D187" w14:textId="20D3EBD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（7）审计：基金托管人职责终止的，应当按照法律法规规定聘请会计师事务所对基金财产进行审计，并将审计结果予以公告，同时报中国证监会备案，审计费用在基金财产中列支。</w:t>
      </w:r>
    </w:p>
    <w:p w14:paraId="71DA23F9" w14:textId="26BFCE81" w:rsidR="00ED7E69" w:rsidRDefault="00083714">
      <w:pPr>
        <w:pStyle w:val="21"/>
        <w:rPr>
          <w:rFonts w:ascii="仿宋" w:eastAsia="仿宋" w:hAnsi="仿宋"/>
          <w:color w:val="000000"/>
          <w:sz w:val="28"/>
          <w:szCs w:val="28"/>
        </w:rPr>
      </w:pPr>
      <w:bookmarkStart w:id="53" w:name="_Toc1357"/>
      <w:r>
        <w:rPr>
          <w:rFonts w:ascii="仿宋" w:eastAsia="仿宋" w:hAnsi="仿宋"/>
          <w:color w:val="000000"/>
          <w:sz w:val="28"/>
          <w:szCs w:val="28"/>
        </w:rPr>
        <w:t>14.3基金管理人与基金托管人同时更换</w:t>
      </w:r>
      <w:bookmarkEnd w:id="53"/>
    </w:p>
    <w:p w14:paraId="58A2F214" w14:textId="0420418D" w:rsidR="00ED7E69" w:rsidRDefault="00083714">
      <w:pPr>
        <w:pStyle w:val="21"/>
        <w:rPr>
          <w:rFonts w:ascii="仿宋" w:eastAsia="仿宋" w:hAnsi="仿宋"/>
          <w:color w:val="000000"/>
          <w:sz w:val="28"/>
          <w:szCs w:val="28"/>
        </w:rPr>
      </w:pPr>
      <w:r>
        <w:rPr>
          <w:rFonts w:ascii="仿宋" w:eastAsia="仿宋" w:hAnsi="仿宋"/>
          <w:color w:val="000000"/>
          <w:sz w:val="28"/>
          <w:szCs w:val="28"/>
        </w:rPr>
        <w:t>14.3.1</w:t>
      </w:r>
      <w:r>
        <w:rPr>
          <w:rFonts w:ascii="仿宋" w:eastAsia="仿宋" w:hAnsi="仿宋" w:hint="eastAsia"/>
          <w:color w:val="000000"/>
          <w:sz w:val="28"/>
          <w:szCs w:val="28"/>
        </w:rPr>
        <w:t>提名：如果基金管理人和基金托管人同时更换，由单独或合计持有基金总份额10%以上（含10%）的基金份额持有人提名新的基金管理人和基金托管人</w:t>
      </w:r>
      <w:r>
        <w:rPr>
          <w:rFonts w:ascii="仿宋" w:eastAsia="仿宋" w:hAnsi="仿宋"/>
          <w:color w:val="000000"/>
          <w:sz w:val="28"/>
          <w:szCs w:val="28"/>
        </w:rPr>
        <w:t>；</w:t>
      </w:r>
    </w:p>
    <w:p w14:paraId="7E2DD562" w14:textId="06092AEC" w:rsidR="00ED7E69" w:rsidRDefault="00083714">
      <w:pPr>
        <w:pStyle w:val="21"/>
        <w:rPr>
          <w:rFonts w:ascii="仿宋" w:eastAsia="仿宋" w:hAnsi="仿宋"/>
          <w:color w:val="000000"/>
          <w:sz w:val="28"/>
          <w:szCs w:val="28"/>
        </w:rPr>
      </w:pPr>
      <w:r>
        <w:rPr>
          <w:rFonts w:ascii="仿宋" w:eastAsia="仿宋" w:hAnsi="仿宋"/>
          <w:color w:val="000000"/>
          <w:sz w:val="28"/>
          <w:szCs w:val="28"/>
        </w:rPr>
        <w:t>14.3.2</w:t>
      </w:r>
      <w:r>
        <w:rPr>
          <w:rFonts w:ascii="仿宋" w:eastAsia="仿宋" w:hAnsi="仿宋" w:hint="eastAsia"/>
          <w:color w:val="000000"/>
          <w:sz w:val="28"/>
          <w:szCs w:val="28"/>
        </w:rPr>
        <w:t>基金管理人和基金托管人的更换分别按上述程序进行</w:t>
      </w:r>
      <w:r>
        <w:rPr>
          <w:rFonts w:ascii="仿宋" w:eastAsia="仿宋" w:hAnsi="仿宋"/>
          <w:color w:val="000000"/>
          <w:sz w:val="28"/>
          <w:szCs w:val="28"/>
        </w:rPr>
        <w:t>；</w:t>
      </w:r>
    </w:p>
    <w:p w14:paraId="3F6014ED" w14:textId="440A0616" w:rsidR="00ED7E69" w:rsidRDefault="00083714">
      <w:pPr>
        <w:pStyle w:val="21"/>
        <w:rPr>
          <w:rFonts w:ascii="仿宋" w:eastAsia="仿宋" w:hAnsi="仿宋"/>
          <w:color w:val="000000"/>
          <w:sz w:val="28"/>
          <w:szCs w:val="28"/>
        </w:rPr>
      </w:pPr>
      <w:r>
        <w:rPr>
          <w:rFonts w:ascii="仿宋" w:eastAsia="仿宋" w:hAnsi="仿宋"/>
          <w:color w:val="000000"/>
          <w:sz w:val="28"/>
          <w:szCs w:val="28"/>
        </w:rPr>
        <w:t>14.3.3</w:t>
      </w:r>
      <w:r>
        <w:rPr>
          <w:rFonts w:ascii="仿宋" w:eastAsia="仿宋" w:hAnsi="仿宋" w:hint="eastAsia"/>
          <w:color w:val="000000"/>
          <w:sz w:val="28"/>
          <w:szCs w:val="28"/>
        </w:rPr>
        <w:t>公告：新任基金管理人和新任基金托管人应在更换基金管理人和基金托管人的基金份额持有人大会决议生效后依照《信息披露办法》的有关规定在规定媒介上联合公告</w:t>
      </w:r>
      <w:r>
        <w:rPr>
          <w:rFonts w:ascii="仿宋" w:eastAsia="仿宋" w:hAnsi="仿宋"/>
          <w:color w:val="000000"/>
          <w:sz w:val="28"/>
          <w:szCs w:val="28"/>
        </w:rPr>
        <w:t>。</w:t>
      </w:r>
    </w:p>
    <w:p w14:paraId="640F998B" w14:textId="62335BF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14.</w:t>
      </w:r>
      <w:r>
        <w:rPr>
          <w:rFonts w:ascii="仿宋" w:eastAsia="仿宋" w:hAnsi="仿宋"/>
          <w:color w:val="000000"/>
          <w:sz w:val="28"/>
          <w:szCs w:val="28"/>
        </w:rPr>
        <w:t>4</w:t>
      </w:r>
      <w:r>
        <w:rPr>
          <w:rFonts w:ascii="仿宋" w:eastAsia="仿宋" w:hAnsi="仿宋" w:hint="eastAsia"/>
          <w:color w:val="000000"/>
          <w:sz w:val="28"/>
          <w:szCs w:val="28"/>
        </w:rPr>
        <w:t>新任或临时基金管理人接收基金管理或新任或临时基金托管人接收基金财产和基金托管业务前，原基金管理人或基金托管人应依据法律法规和《基金合同》的规定继续履行相关职责，并保证不对基金份额持有人的利益造成损害。原基金管理人或基金托管人在继续履行相关职责期间，仍有权按照基金合同的规定收取基金管理费或基金托管费</w:t>
      </w:r>
      <w:r>
        <w:rPr>
          <w:rFonts w:ascii="仿宋" w:eastAsia="仿宋" w:hAnsi="仿宋"/>
          <w:color w:val="000000"/>
          <w:sz w:val="28"/>
          <w:szCs w:val="28"/>
        </w:rPr>
        <w:t>。</w:t>
      </w:r>
    </w:p>
    <w:p w14:paraId="45825458" w14:textId="7790CEB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14.</w:t>
      </w:r>
      <w:r>
        <w:rPr>
          <w:rFonts w:ascii="仿宋" w:eastAsia="仿宋" w:hAnsi="仿宋"/>
          <w:color w:val="000000"/>
          <w:sz w:val="28"/>
          <w:szCs w:val="28"/>
        </w:rPr>
        <w:t>5</w:t>
      </w:r>
      <w:r>
        <w:rPr>
          <w:rFonts w:ascii="仿宋" w:eastAsia="仿宋" w:hAnsi="仿宋" w:hint="eastAsia"/>
          <w:color w:val="000000"/>
          <w:sz w:val="28"/>
          <w:szCs w:val="28"/>
        </w:rPr>
        <w:t>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bookmarkEnd w:id="51"/>
    <w:p w14:paraId="33EA8E8F" w14:textId="77777777" w:rsidR="00ED7E69" w:rsidRDefault="00ED7E69">
      <w:pPr>
        <w:pStyle w:val="21"/>
        <w:rPr>
          <w:rFonts w:ascii="仿宋" w:eastAsia="仿宋" w:hAnsi="仿宋"/>
          <w:color w:val="000000"/>
          <w:sz w:val="28"/>
          <w:szCs w:val="28"/>
        </w:rPr>
      </w:pPr>
    </w:p>
    <w:p w14:paraId="486BCE94" w14:textId="77777777" w:rsidR="00ED7E69" w:rsidRDefault="00ED7E69">
      <w:pPr>
        <w:pStyle w:val="21"/>
        <w:rPr>
          <w:rFonts w:ascii="仿宋" w:eastAsia="仿宋" w:hAnsi="仿宋"/>
          <w:color w:val="000000"/>
          <w:sz w:val="28"/>
          <w:szCs w:val="28"/>
        </w:rPr>
      </w:pPr>
    </w:p>
    <w:p w14:paraId="6AE0DA4E" w14:textId="77777777" w:rsidR="00ED7E69" w:rsidRDefault="00ED7E69">
      <w:pPr>
        <w:pStyle w:val="1"/>
        <w:rPr>
          <w:rFonts w:ascii="仿宋" w:eastAsia="仿宋" w:hAnsi="仿宋"/>
          <w:bCs/>
          <w:sz w:val="28"/>
          <w:szCs w:val="28"/>
        </w:rPr>
        <w:sectPr w:rsidR="00ED7E69">
          <w:footerReference r:id="rId33" w:type="default"/>
          <w:pgSz w:h="16840" w:w="11907"/>
          <w:pgMar w:bottom="1134" w:footer="720" w:gutter="0" w:header="720" w:left="1452" w:right="1452" w:top="1361"/>
          <w:cols w:space="720"/>
          <w:docGrid w:linePitch="286"/>
        </w:sectPr>
      </w:pPr>
      <w:bookmarkStart w:id="54" w:name="_Toc296551351"/>
    </w:p>
    <w:p w14:paraId="4F23DAAC" w14:textId="77777777" w:rsidR="00ED7E69" w:rsidRDefault="00083714">
      <w:pPr>
        <w:pStyle w:val="1"/>
        <w:rPr>
          <w:rFonts w:ascii="仿宋" w:eastAsia="仿宋" w:hAnsi="仿宋"/>
          <w:bCs/>
          <w:sz w:val="28"/>
          <w:szCs w:val="28"/>
        </w:rPr>
      </w:pPr>
      <w:bookmarkStart w:id="55" w:name="_Toc187930235"/>
      <w:r>
        <w:rPr>
          <w:rFonts w:ascii="仿宋" w:eastAsia="仿宋" w:hAnsi="仿宋" w:hint="eastAsia"/>
          <w:bCs/>
          <w:sz w:val="28"/>
          <w:szCs w:val="28"/>
        </w:rPr>
        <w:t>第十五条 禁止行为</w:t>
      </w:r>
      <w:bookmarkEnd w:id="54"/>
      <w:bookmarkEnd w:id="55"/>
    </w:p>
    <w:p w14:paraId="2D88C789"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15.1本协议当事人禁止从事的行为，包括但不限于：</w:t>
      </w:r>
    </w:p>
    <w:p w14:paraId="735B9E72" w14:textId="0CDDCD4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15.1.1基金管理人、基金托管人将其固有财产或者他人财产混同于基金财产从事证券投资。</w:t>
      </w:r>
    </w:p>
    <w:p w14:paraId="1CDA66CA" w14:textId="441E1D0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15.1.2基金管理人不公平地对待其管理的不同基金财产，基金托管人不公平地对待其托管的不同基金财产。</w:t>
      </w:r>
    </w:p>
    <w:p w14:paraId="01A6121A" w14:textId="060E939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15.1.3基金管理人、基金托管人利用基金财产为基金份额持有人以外的第三人牟取利益。</w:t>
      </w:r>
    </w:p>
    <w:p w14:paraId="5B112432" w14:textId="7774144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15.1.4基金管理人、基金托管人向基金份额持有人违规承诺收益或者承担损失。</w:t>
      </w:r>
    </w:p>
    <w:p w14:paraId="3BA66736" w14:textId="6A3D904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15.1.5基金管理人、基金托管人对他人泄露基金运作和管理过程中任何尚未按法律法规规定的方式公开披露的信息。</w:t>
      </w:r>
    </w:p>
    <w:p w14:paraId="79D247C6" w14:textId="3C1FFBD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15.1.6基金管理人在没有充足资金的情况下向基金托管人发出投资指令和赎回、分红资金的划拨指令，或违规向基金托管人发出指令。</w:t>
      </w:r>
    </w:p>
    <w:p w14:paraId="131869DF" w14:textId="6552F90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15.1.7基金管理人、基金托管人在行政上、财务上不独立，其高级管理人员和其他从业人员相互兼职。</w:t>
      </w:r>
    </w:p>
    <w:p w14:paraId="2AA25C11" w14:textId="3014849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15.1.8基金托管人私自动用或处分基金财产，根据基金管理人的合法指令、基金合同或托管协议的规定进行处分的除外。</w:t>
      </w:r>
    </w:p>
    <w:p w14:paraId="31B2B9AA" w14:textId="1E2F6C99"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15.1.9基金财产用于下列投资或者活动：</w:t>
      </w:r>
    </w:p>
    <w:p w14:paraId="30897F28"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（1）承销证券；</w:t>
      </w:r>
    </w:p>
    <w:p w14:paraId="25DFF78D"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（2）违反规定向他人贷款或者提供担保；</w:t>
      </w:r>
    </w:p>
    <w:p w14:paraId="1C28A3C8"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（3）从事承担无限责任的投资；</w:t>
      </w:r>
    </w:p>
    <w:p w14:paraId="5E1FF50A"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（4）买卖其他基金份额，但是中国证监会另有规定的除外；</w:t>
      </w:r>
    </w:p>
    <w:p w14:paraId="0B08621E" w14:textId="0EE64BB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（5）向其基金管理人、基金托管人出资；</w:t>
      </w:r>
    </w:p>
    <w:p w14:paraId="5BA8D870"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（6）从事内幕交易、操纵证券交易价格及其他不正当的证券交易活动；</w:t>
      </w:r>
    </w:p>
    <w:p w14:paraId="77841BB9"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（7）法律、行政法规和中国证监会规定禁止的其他活动。</w:t>
      </w:r>
    </w:p>
    <w:p w14:paraId="22287CA6" w14:textId="285CD66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15.1.10法律法规和基金合同禁止的其他行为，以及依照法律、行政法规有关规定，由中国证监会规定禁止基金管理人、基金托管人从事的其他行为。</w:t>
      </w:r>
    </w:p>
    <w:p w14:paraId="0642AA46" w14:textId="77777777" w:rsidR="00ED7E69" w:rsidRDefault="00ED7E69">
      <w:pPr>
        <w:pStyle w:val="21"/>
        <w:rPr>
          <w:rFonts w:ascii="仿宋" w:eastAsia="仿宋" w:hAnsi="仿宋"/>
          <w:color w:val="000000"/>
          <w:sz w:val="28"/>
          <w:szCs w:val="28"/>
        </w:rPr>
      </w:pPr>
    </w:p>
    <w:p w14:paraId="468AFB39" w14:textId="77777777" w:rsidR="00ED7E69" w:rsidRDefault="00ED7E69">
      <w:pPr>
        <w:pStyle w:val="1"/>
        <w:rPr>
          <w:rFonts w:ascii="仿宋" w:eastAsia="仿宋" w:hAnsi="仿宋"/>
          <w:bCs/>
          <w:sz w:val="28"/>
          <w:szCs w:val="28"/>
        </w:rPr>
        <w:sectPr w:rsidR="00ED7E69">
          <w:footerReference r:id="rId34" w:type="default"/>
          <w:footerReference r:id="rId35" w:type="first"/>
          <w:pgSz w:h="16840" w:w="11907"/>
          <w:pgMar w:bottom="1134" w:footer="720" w:gutter="0" w:header="720" w:left="1452" w:right="1452" w:top="1361"/>
          <w:cols w:space="720"/>
          <w:docGrid w:linePitch="286"/>
        </w:sectPr>
      </w:pPr>
      <w:bookmarkStart w:id="56" w:name="_Toc296551352"/>
    </w:p>
    <w:p w14:paraId="5CD49199" w14:textId="1C46548D" w:rsidR="00ED7E69" w:rsidRDefault="00083714">
      <w:pPr>
        <w:pStyle w:val="1"/>
        <w:rPr>
          <w:rFonts w:ascii="仿宋" w:eastAsia="仿宋" w:hAnsi="仿宋"/>
          <w:bCs/>
          <w:sz w:val="28"/>
          <w:szCs w:val="28"/>
        </w:rPr>
      </w:pPr>
      <w:bookmarkStart w:id="57" w:name="_Toc187930236"/>
      <w:r>
        <w:rPr>
          <w:rFonts w:ascii="仿宋" w:eastAsia="仿宋" w:hAnsi="仿宋" w:hint="eastAsia"/>
          <w:bCs/>
          <w:sz w:val="28"/>
          <w:szCs w:val="28"/>
        </w:rPr>
        <w:t>第十六条 基金托管协议的变更、终止与基金财产的清算</w:t>
      </w:r>
      <w:bookmarkEnd w:id="56"/>
      <w:bookmarkEnd w:id="57"/>
    </w:p>
    <w:p w14:paraId="61E276E4"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16.1托管协议的变更与终止</w:t>
      </w:r>
    </w:p>
    <w:p w14:paraId="47F800A3"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16.1.1托管协议的变更程序</w:t>
      </w:r>
    </w:p>
    <w:p w14:paraId="103D5811" w14:textId="5C031EA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本协议双方当事人经协商一致，可以对协议的内容进行变更。变更后的托管协议，其内容不得与基金合同的规定有任何冲突。</w:t>
      </w:r>
    </w:p>
    <w:p w14:paraId="1C683867" w14:textId="7EBB3A16"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16.1.2基金托管协议终止的情形</w:t>
      </w:r>
    </w:p>
    <w:p w14:paraId="6548920B"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发生以下情况，本协议终止：</w:t>
      </w:r>
    </w:p>
    <w:p w14:paraId="2C17ACE7" w14:textId="6FB06D4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（1）基金合同终止；</w:t>
      </w:r>
    </w:p>
    <w:p w14:paraId="2350EBE4" w14:textId="6059FB3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（2）基金托管人解散、依法被撤销、破产或由其他基金托管人接管基金资产；</w:t>
      </w:r>
    </w:p>
    <w:p w14:paraId="727658BA" w14:textId="527A918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（3）基金管理人解散、依法被撤销、破产或由其他基金管理人接管基金管理权；</w:t>
      </w:r>
    </w:p>
    <w:p w14:paraId="4136BBAD" w14:textId="432E5DF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（4）发生法律法规或基金合同规定的终止事项。</w:t>
      </w:r>
    </w:p>
    <w:p w14:paraId="6BCAA919" w14:textId="64D75F6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16.2基金财产的清算</w:t>
      </w:r>
    </w:p>
    <w:p w14:paraId="58C60856" w14:textId="35733B9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16.2.1基金财产清算小组：</w:t>
      </w:r>
    </w:p>
    <w:p w14:paraId="403AA695" w14:textId="3514190D"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（1）自出现《基金合同》终止事由之日起30个工作日内成立清算小组，基金管理人组织基金财产清算小组并在中国证监会的监督下进行基金清算。</w:t>
      </w:r>
    </w:p>
    <w:p w14:paraId="251565B7" w14:textId="3856E6E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（2）基金财产清算小组成员由基金管理人、基金托管人、符合《证券法》规定的的注册会计师、律师以及中国证监会指定的人员组成。基金财产清算小组可以聘用必要的工作人员。</w:t>
      </w:r>
    </w:p>
    <w:p w14:paraId="40EBF12D" w14:textId="76DC71A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（3）在基金财产清算过程中，基金管理人和基金托管人应各自履行职责，继续忠实、勤勉、尽责地履行基金合同和本协议规定的义务，维护基金份额持有人的合法权益。</w:t>
      </w:r>
    </w:p>
    <w:p w14:paraId="36902111" w14:textId="722BA29E"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4</w:t>
      </w:r>
      <w:r>
        <w:rPr>
          <w:rFonts w:ascii="仿宋" w:eastAsia="仿宋" w:hAnsi="仿宋" w:hint="eastAsia"/>
          <w:color w:val="000000"/>
          <w:sz w:val="28"/>
          <w:szCs w:val="28"/>
        </w:rPr>
        <w:t>）基金财产清算小组负责基金财产的保管、清理、估价、变现和分配。基金财产清算小组可以依法进行必要的民事活动。</w:t>
      </w:r>
    </w:p>
    <w:p w14:paraId="52515B39" w14:textId="0F0A6A9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16.2.2基金财产清算程序</w:t>
      </w:r>
    </w:p>
    <w:p w14:paraId="16256F94" w14:textId="4F96659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基金合同终止，应当按法律法规和基金合同的有关规定对基金财产进行清算。基金财产清算程序主要包括：</w:t>
      </w:r>
    </w:p>
    <w:p w14:paraId="35363A63" w14:textId="53F369C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（1）《基金合同》终止情形出现时，由基金财产清算小组统一接管基金；</w:t>
      </w:r>
    </w:p>
    <w:p w14:paraId="7C6AB596" w14:textId="3C2E9884"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（2）对基金财产和债权债务进行清理和确认；</w:t>
      </w:r>
    </w:p>
    <w:p w14:paraId="24C54297" w14:textId="629DDEE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（3）对基金财产进行估值和变现；</w:t>
      </w:r>
    </w:p>
    <w:p w14:paraId="3E986183"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（4）制作清算报告；</w:t>
      </w:r>
    </w:p>
    <w:p w14:paraId="76E1C371"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（5）聘请会计师事务所对清算报告进行外部审计，聘请律师事务所对清算报告出具法律意见书；</w:t>
      </w:r>
    </w:p>
    <w:p w14:paraId="4E13B29F"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（6）将清算报告报中国证监会备案并公告；</w:t>
      </w:r>
    </w:p>
    <w:p w14:paraId="64B85F3E" w14:textId="5D7C899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（7）对基金剩余财产进行分配。</w:t>
      </w:r>
    </w:p>
    <w:p w14:paraId="102AB36E" w14:textId="7BFF625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16.2.3基金财产清算的期限为6个月，但因本基金所持证券的流动性受到限制而不能及时变现的，清算期限相应顺延。</w:t>
      </w:r>
    </w:p>
    <w:p w14:paraId="513237A3"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16.2.</w:t>
      </w:r>
      <w:r>
        <w:rPr>
          <w:rFonts w:ascii="仿宋" w:eastAsia="仿宋" w:hAnsi="仿宋"/>
          <w:color w:val="000000"/>
          <w:sz w:val="28"/>
          <w:szCs w:val="28"/>
        </w:rPr>
        <w:t>4</w:t>
      </w:r>
      <w:r>
        <w:rPr>
          <w:rFonts w:ascii="仿宋" w:eastAsia="仿宋" w:hAnsi="仿宋" w:hint="eastAsia"/>
          <w:color w:val="000000"/>
          <w:sz w:val="28"/>
          <w:szCs w:val="28"/>
        </w:rPr>
        <w:t>清算费用</w:t>
      </w:r>
    </w:p>
    <w:p w14:paraId="0E8D364B" w14:textId="6E0908B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清算费用是指基金财产清算小组在进行基金清算过程中发生的所有合理费用，清算费用由基金财产清算小组优先从基金财产中支付。</w:t>
      </w:r>
    </w:p>
    <w:p w14:paraId="5A689910" w14:textId="6BA05F8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16.2.</w:t>
      </w:r>
      <w:r>
        <w:rPr>
          <w:rFonts w:ascii="仿宋" w:eastAsia="仿宋" w:hAnsi="仿宋"/>
          <w:color w:val="000000"/>
          <w:sz w:val="28"/>
          <w:szCs w:val="28"/>
        </w:rPr>
        <w:t>5</w:t>
      </w:r>
      <w:r>
        <w:rPr>
          <w:rFonts w:ascii="仿宋" w:eastAsia="仿宋" w:hAnsi="仿宋" w:hint="eastAsia"/>
          <w:color w:val="000000"/>
          <w:sz w:val="28"/>
          <w:szCs w:val="28"/>
        </w:rPr>
        <w:t>基金财产按下列顺序清偿：</w:t>
      </w:r>
    </w:p>
    <w:p w14:paraId="79C4CF0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（1）支付清算费用；</w:t>
      </w:r>
    </w:p>
    <w:p w14:paraId="0E47460B"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（2）交纳所欠税款；</w:t>
      </w:r>
    </w:p>
    <w:p w14:paraId="5F56C945" w14:textId="027E5C7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（3）清偿基金债务；</w:t>
      </w:r>
    </w:p>
    <w:p w14:paraId="1F743B87" w14:textId="10F0E84C"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（4）按基金份额持有人持有的基金份额比例进行分配。</w:t>
      </w:r>
    </w:p>
    <w:p w14:paraId="491C6D41" w14:textId="45978CF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基金财产未按前款（1）－（3）项规定清偿前，不分配给基金份额持有人。</w:t>
      </w:r>
    </w:p>
    <w:p w14:paraId="62982DD4" w14:textId="6207278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16.2.</w:t>
      </w:r>
      <w:r>
        <w:rPr>
          <w:rFonts w:ascii="仿宋" w:eastAsia="仿宋" w:hAnsi="仿宋"/>
          <w:color w:val="000000"/>
          <w:sz w:val="28"/>
          <w:szCs w:val="28"/>
        </w:rPr>
        <w:t>6</w:t>
      </w:r>
      <w:r>
        <w:rPr>
          <w:rFonts w:ascii="仿宋" w:eastAsia="仿宋" w:hAnsi="仿宋" w:hint="eastAsia"/>
          <w:color w:val="000000"/>
          <w:sz w:val="28"/>
          <w:szCs w:val="28"/>
        </w:rPr>
        <w:t>基金财产清算的公告：</w:t>
      </w:r>
    </w:p>
    <w:p w14:paraId="03230858" w14:textId="580EA4E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清算过程中的有关重大事项须及时公告；基金财产清算报告经符合《证券法》规定的的会计师事务所审计并由律师事务所出具法律意见书后报中国证监会备案并公告。基金财产清算公告于基金财产清算报告报中国证监会备案后由基金财产清算小组进行公告。</w:t>
      </w:r>
    </w:p>
    <w:p w14:paraId="7203C1C7" w14:textId="44D92F9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16.2.</w:t>
      </w:r>
      <w:r>
        <w:rPr>
          <w:rFonts w:ascii="仿宋" w:eastAsia="仿宋" w:hAnsi="仿宋"/>
          <w:color w:val="000000"/>
          <w:sz w:val="28"/>
          <w:szCs w:val="28"/>
        </w:rPr>
        <w:t>7</w:t>
      </w:r>
      <w:r>
        <w:rPr>
          <w:rFonts w:ascii="仿宋" w:eastAsia="仿宋" w:hAnsi="仿宋" w:hint="eastAsia"/>
          <w:color w:val="000000"/>
          <w:sz w:val="28"/>
          <w:szCs w:val="28"/>
        </w:rPr>
        <w:t>基金财产清算账册及文件的保存</w:t>
      </w:r>
    </w:p>
    <w:p w14:paraId="152DD6C6" w14:textId="12D41877" w:rsidR="00ED7E69" w:rsidRDefault="00083714">
      <w:pPr>
        <w:pStyle w:val="21"/>
        <w:rPr>
          <w:rFonts w:ascii="仿宋" w:eastAsia="仿宋" w:hAnsi="仿宋"/>
          <w:color w:val="000000"/>
          <w:sz w:val="28"/>
          <w:szCs w:val="28"/>
        </w:rPr>
      </w:pPr>
      <w:bookmarkStart w:id="58" w:name="_Toc296551353"/>
      <w:r>
        <w:rPr>
          <w:rFonts w:ascii="仿宋" w:eastAsia="仿宋" w:hAnsi="仿宋" w:hint="eastAsia"/>
          <w:color w:val="000000"/>
          <w:sz w:val="28"/>
          <w:szCs w:val="28"/>
        </w:rPr>
        <w:t>基金财产清算账册及有关文件由基金托管人保存不少于法律法规规定的最低期限。</w:t>
      </w:r>
    </w:p>
    <w:p w14:paraId="1A952E7E" w14:textId="77777777" w:rsidR="00ED7E69" w:rsidRDefault="00ED7E69">
      <w:pPr>
        <w:pStyle w:val="1"/>
        <w:rPr>
          <w:rFonts w:ascii="仿宋" w:eastAsia="仿宋" w:hAnsi="仿宋"/>
          <w:bCs/>
          <w:sz w:val="28"/>
          <w:szCs w:val="28"/>
        </w:rPr>
        <w:sectPr w:rsidR="00ED7E69">
          <w:footerReference r:id="rId36" w:type="default"/>
          <w:footerReference r:id="rId37" w:type="first"/>
          <w:pgSz w:h="16840" w:w="11907"/>
          <w:pgMar w:bottom="1134" w:footer="720" w:gutter="0" w:header="720" w:left="1452" w:right="1452" w:top="1361"/>
          <w:cols w:space="720"/>
          <w:docGrid w:linePitch="286"/>
        </w:sectPr>
      </w:pPr>
    </w:p>
    <w:p w14:paraId="682552F7" w14:textId="77777777" w:rsidR="00ED7E69" w:rsidRDefault="00083714">
      <w:pPr>
        <w:pStyle w:val="1"/>
        <w:rPr>
          <w:rFonts w:ascii="仿宋" w:eastAsia="仿宋" w:hAnsi="仿宋"/>
          <w:bCs/>
          <w:sz w:val="28"/>
          <w:szCs w:val="28"/>
        </w:rPr>
      </w:pPr>
      <w:bookmarkStart w:id="59" w:name="_Toc187930237"/>
      <w:r>
        <w:rPr>
          <w:rFonts w:ascii="仿宋" w:eastAsia="仿宋" w:hAnsi="仿宋" w:hint="eastAsia"/>
          <w:bCs/>
          <w:sz w:val="28"/>
          <w:szCs w:val="28"/>
        </w:rPr>
        <w:t>第十七条 违约责任</w:t>
      </w:r>
      <w:bookmarkEnd w:id="58"/>
      <w:bookmarkEnd w:id="59"/>
    </w:p>
    <w:p w14:paraId="7AECBA99" w14:textId="6339D948"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17.1如果基金管理人或基金托管人不履行本协议或者履行本协议不符合约定的，应当承担违约责任。</w:t>
      </w:r>
    </w:p>
    <w:p w14:paraId="66BF7CDC" w14:textId="47F6C5D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17.2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当事人可以免责：</w:t>
      </w:r>
    </w:p>
    <w:p w14:paraId="5B25F8BC"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（1）不可抗力；</w:t>
      </w:r>
    </w:p>
    <w:p w14:paraId="5AC424F4" w14:textId="48CE8AC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（2）基金管理人和/或基金托管人按照届时有效的法律法规或中国证监会的规定作为或不作为而造成的损失等；</w:t>
      </w:r>
    </w:p>
    <w:p w14:paraId="31CA8A9F" w14:textId="6A8B8701"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（3）基金管理人由于按照基金合同规定的投资原则行使或不行使其投资权而造成的损失等。</w:t>
      </w:r>
    </w:p>
    <w:p w14:paraId="4234B168" w14:textId="43AA413A"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17.3如果由于本协议一方当事人（以下简称“违约方”）的违约行为给基金财产或基金投资人造成损失，另一方当事人（以下简称“守约方”）有权利并且有义务代表基金对违约方进行追偿；如果由于违约方的违约行为导致守约方赔偿了该基金财产或基金投资人所遭受的损失，则守约方有权向违约方追索，违约方应赔偿和补偿守约方由此发生的所有成本、费用和支出，以及由此遭受的损失。</w:t>
      </w:r>
    </w:p>
    <w:p w14:paraId="7A86ACBB"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17.4当事人一方违约，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1B9D8CDA" w14:textId="227609A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17.5违约行为虽已发生，但本协议能够继续履行的，在最大限度地保护基金份额持有人利益的前提下，基金管理人和基金托管人应当继续履行本协议。</w:t>
      </w:r>
    </w:p>
    <w:p w14:paraId="0631580C" w14:textId="671446DF"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17.6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减轻</w:t>
      </w:r>
      <w:r>
        <w:rPr>
          <w:rFonts w:ascii="仿宋" w:eastAsia="仿宋" w:hAnsi="仿宋"/>
          <w:color w:val="000000"/>
          <w:sz w:val="28"/>
          <w:szCs w:val="28"/>
        </w:rPr>
        <w:t>或</w:t>
      </w:r>
      <w:r>
        <w:rPr>
          <w:rFonts w:ascii="仿宋" w:eastAsia="仿宋" w:hAnsi="仿宋" w:hint="eastAsia"/>
          <w:color w:val="000000"/>
          <w:sz w:val="28"/>
          <w:szCs w:val="28"/>
        </w:rPr>
        <w:t>消除由此造成的影响。</w:t>
      </w:r>
    </w:p>
    <w:p w14:paraId="2E0B7776" w14:textId="77777777" w:rsidR="00ED7E69" w:rsidRDefault="00ED7E69">
      <w:pPr>
        <w:pStyle w:val="21"/>
        <w:rPr>
          <w:rFonts w:ascii="仿宋" w:eastAsia="仿宋" w:hAnsi="仿宋"/>
          <w:color w:val="000000"/>
          <w:sz w:val="28"/>
          <w:szCs w:val="28"/>
        </w:rPr>
      </w:pPr>
    </w:p>
    <w:p w14:paraId="08F2BF10" w14:textId="77777777" w:rsidR="00ED7E69" w:rsidRDefault="00ED7E69">
      <w:pPr>
        <w:pStyle w:val="1"/>
        <w:rPr>
          <w:rFonts w:ascii="仿宋" w:eastAsia="仿宋" w:hAnsi="仿宋"/>
          <w:bCs/>
          <w:sz w:val="28"/>
          <w:szCs w:val="28"/>
        </w:rPr>
        <w:sectPr w:rsidR="00ED7E69">
          <w:footerReference r:id="rId38" w:type="default"/>
          <w:footerReference r:id="rId39" w:type="first"/>
          <w:pgSz w:h="16840" w:w="11907"/>
          <w:pgMar w:bottom="1134" w:footer="720" w:gutter="0" w:header="720" w:left="1452" w:right="1452" w:top="1361"/>
          <w:cols w:space="720"/>
          <w:docGrid w:linePitch="286"/>
        </w:sectPr>
      </w:pPr>
      <w:bookmarkStart w:id="60" w:name="_Toc296551354"/>
    </w:p>
    <w:p w14:paraId="63989071" w14:textId="77777777" w:rsidR="00ED7E69" w:rsidRDefault="00083714">
      <w:pPr>
        <w:pStyle w:val="1"/>
        <w:rPr>
          <w:rFonts w:ascii="仿宋" w:eastAsia="仿宋" w:hAnsi="仿宋"/>
          <w:bCs/>
          <w:sz w:val="28"/>
          <w:szCs w:val="28"/>
        </w:rPr>
      </w:pPr>
      <w:bookmarkStart w:id="61" w:name="_Toc187930238"/>
      <w:r>
        <w:rPr>
          <w:rFonts w:ascii="仿宋" w:eastAsia="仿宋" w:hAnsi="仿宋" w:hint="eastAsia"/>
          <w:bCs/>
          <w:sz w:val="28"/>
          <w:szCs w:val="28"/>
        </w:rPr>
        <w:t>第十八条 争议解决方式</w:t>
      </w:r>
      <w:bookmarkEnd w:id="60"/>
      <w:bookmarkEnd w:id="61"/>
    </w:p>
    <w:p w14:paraId="6EEA31C3"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18.1本协议及本协议项下各方的权利和义务适用中华人民共和国法律（为本协议之目的，不包括香港、澳门和台湾法律），并按照中华人民共和国法律解释</w:t>
      </w:r>
      <w:r>
        <w:rPr>
          <w:rFonts w:ascii="仿宋" w:eastAsia="仿宋" w:hAnsi="仿宋"/>
          <w:color w:val="000000"/>
          <w:sz w:val="28"/>
          <w:szCs w:val="28"/>
        </w:rPr>
        <w:t>。</w:t>
      </w:r>
    </w:p>
    <w:p w14:paraId="29840991"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18.2凡因本协议产生的及与本协议有关的争议，当事人双方均应协商解决；协商不成的，应提交中国国际经济贸易仲裁委员会根据该会当时有效的仲裁规则按普通程序进行仲裁，仲裁地点为北京市</w:t>
      </w:r>
      <w:r>
        <w:rPr>
          <w:rFonts w:ascii="仿宋" w:eastAsia="仿宋" w:hAnsi="仿宋" w:hint="eastAsia"/>
          <w:bCs/>
          <w:color w:val="000000"/>
          <w:sz w:val="28"/>
          <w:szCs w:val="28"/>
        </w:rPr>
        <w:t>。</w:t>
      </w:r>
      <w:r>
        <w:rPr>
          <w:rFonts w:ascii="仿宋" w:eastAsia="仿宋" w:hAnsi="仿宋" w:hint="eastAsia"/>
          <w:color w:val="000000"/>
          <w:sz w:val="28"/>
          <w:szCs w:val="28"/>
        </w:rPr>
        <w:t>仲裁裁决是终局性的并对各方当事人具有约束力，除非仲裁裁决另有规定，仲裁费由败诉方承担。</w:t>
      </w:r>
    </w:p>
    <w:p w14:paraId="496FBFBD" w14:textId="05EB22A3"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18.3争议处理期间，基金管理人和基金托管人应恪守各自职责，继续忠实、勤勉、尽责地履行基金合同和托管协议规定的义务，维护基金份额持有人的合法权益。</w:t>
      </w:r>
    </w:p>
    <w:p w14:paraId="5F1B9B1D" w14:textId="77777777" w:rsidR="00ED7E69" w:rsidRDefault="00ED7E69">
      <w:pPr>
        <w:pStyle w:val="21"/>
        <w:rPr>
          <w:rFonts w:ascii="仿宋" w:eastAsia="仿宋" w:hAnsi="仿宋"/>
          <w:color w:val="000000"/>
          <w:sz w:val="28"/>
          <w:szCs w:val="28"/>
        </w:rPr>
      </w:pPr>
    </w:p>
    <w:p w14:paraId="411A7F20" w14:textId="77777777" w:rsidR="00ED7E69" w:rsidRDefault="00ED7E69">
      <w:pPr>
        <w:pStyle w:val="1"/>
        <w:rPr>
          <w:rFonts w:ascii="仿宋" w:eastAsia="仿宋" w:hAnsi="仿宋"/>
          <w:bCs/>
          <w:sz w:val="28"/>
          <w:szCs w:val="28"/>
        </w:rPr>
        <w:sectPr w:rsidR="00ED7E69">
          <w:footerReference r:id="rId40" w:type="default"/>
          <w:footerReference r:id="rId41" w:type="first"/>
          <w:pgSz w:h="16840" w:w="11907"/>
          <w:pgMar w:bottom="1134" w:footer="720" w:gutter="0" w:header="720" w:left="1452" w:right="1452" w:top="1361"/>
          <w:cols w:space="720"/>
          <w:docGrid w:linePitch="286"/>
        </w:sectPr>
      </w:pPr>
      <w:bookmarkStart w:id="62" w:name="_Toc296551355"/>
    </w:p>
    <w:p w14:paraId="308BD56E" w14:textId="289C6A82" w:rsidR="00ED7E69" w:rsidRDefault="00083714">
      <w:pPr>
        <w:pStyle w:val="1"/>
        <w:rPr>
          <w:rFonts w:ascii="仿宋" w:eastAsia="仿宋" w:hAnsi="仿宋"/>
          <w:bCs/>
          <w:sz w:val="28"/>
          <w:szCs w:val="28"/>
        </w:rPr>
      </w:pPr>
      <w:bookmarkStart w:id="63" w:name="_Toc187930239"/>
      <w:r>
        <w:rPr>
          <w:rFonts w:ascii="仿宋" w:eastAsia="仿宋" w:hAnsi="仿宋" w:hint="eastAsia"/>
          <w:bCs/>
          <w:sz w:val="28"/>
          <w:szCs w:val="28"/>
        </w:rPr>
        <w:t>第十九条 基金托管协议的效力</w:t>
      </w:r>
      <w:bookmarkEnd w:id="62"/>
      <w:bookmarkEnd w:id="63"/>
    </w:p>
    <w:p w14:paraId="7F879886" w14:textId="54EEB54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19.1基金管理人向中国证监会提交的托管协议草案，应经托管协议当事人加盖公章或合同专用章以及双方法定代表人或授权代理人签字（或盖章），协议当事人双方可能不时根据中国证监会的意见修改托管协议草案。托管协议以中国证监会变更注册的文本为正式文本。</w:t>
      </w:r>
    </w:p>
    <w:p w14:paraId="0FF35C65" w14:textId="5195329B"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19.2本协议自基金合同成立时成立，自基金合同生效之日起生效。本协议的有效期自其生效之日起至该基金财产清算结果报中国证监会备案并公告之日止。</w:t>
      </w:r>
    </w:p>
    <w:p w14:paraId="062C5128"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19.3本协议自生效之日起对托管协议当事人具有同等的法律约束力。</w:t>
      </w:r>
    </w:p>
    <w:p w14:paraId="6D32236D" w14:textId="4D0FF282"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19.4本协议正本一式五份，除上报有关监管机构一式一份外，基金管理人和基金托管人分别持有两份，每份具有同等的法律效力。</w:t>
      </w:r>
    </w:p>
    <w:p w14:paraId="3785F9C5" w14:textId="17DD5DE0"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9.5本协议的约定与基金合同不一致的，以基金合同的约定为准。</w:t>
      </w:r>
    </w:p>
    <w:p w14:paraId="29CBC712" w14:textId="77777777" w:rsidR="00ED7E69" w:rsidRDefault="00ED7E69">
      <w:pPr>
        <w:pStyle w:val="21"/>
        <w:rPr>
          <w:rFonts w:ascii="仿宋" w:eastAsia="仿宋" w:hAnsi="仿宋"/>
          <w:color w:val="000000"/>
          <w:sz w:val="28"/>
          <w:szCs w:val="28"/>
        </w:rPr>
      </w:pPr>
    </w:p>
    <w:p w14:paraId="09A0C27A" w14:textId="77777777" w:rsidR="00ED7E69" w:rsidRDefault="00ED7E69">
      <w:pPr>
        <w:pStyle w:val="1"/>
        <w:rPr>
          <w:rFonts w:ascii="仿宋" w:eastAsia="仿宋" w:hAnsi="仿宋"/>
          <w:bCs/>
          <w:sz w:val="28"/>
          <w:szCs w:val="28"/>
        </w:rPr>
        <w:sectPr w:rsidR="00ED7E69">
          <w:footerReference r:id="rId42" w:type="default"/>
          <w:footerReference r:id="rId43" w:type="first"/>
          <w:pgSz w:h="16840" w:w="11907"/>
          <w:pgMar w:bottom="1134" w:footer="720" w:gutter="0" w:header="720" w:left="1452" w:right="1452" w:top="1361"/>
          <w:cols w:space="720"/>
          <w:docGrid w:linePitch="286"/>
        </w:sectPr>
      </w:pPr>
      <w:bookmarkStart w:id="64" w:name="_Toc296551356"/>
    </w:p>
    <w:p w14:paraId="775179FD" w14:textId="226721C9" w:rsidR="00ED7E69" w:rsidRDefault="00083714">
      <w:pPr>
        <w:pStyle w:val="1"/>
        <w:rPr>
          <w:rFonts w:ascii="仿宋" w:eastAsia="仿宋" w:hAnsi="仿宋"/>
          <w:bCs/>
          <w:sz w:val="28"/>
          <w:szCs w:val="28"/>
        </w:rPr>
      </w:pPr>
      <w:bookmarkStart w:id="65" w:name="_Toc187930240"/>
      <w:r>
        <w:rPr>
          <w:rFonts w:ascii="仿宋" w:eastAsia="仿宋" w:hAnsi="仿宋" w:hint="eastAsia"/>
          <w:bCs/>
          <w:sz w:val="28"/>
          <w:szCs w:val="28"/>
        </w:rPr>
        <w:t>第二十条 基金托管协议的签订</w:t>
      </w:r>
      <w:bookmarkEnd w:id="64"/>
      <w:bookmarkEnd w:id="65"/>
    </w:p>
    <w:p w14:paraId="0BC1DD8B" w14:textId="4EF443D5"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20.1本协议经基金管理人和基金托管人认可后，由该双方当事人在本协议上加盖公章或合同专用章，并由各自的法定代表人或授权代表签字或签章，并注明本协议的签订地点和签订日期。</w:t>
      </w:r>
    </w:p>
    <w:p w14:paraId="275CD013" w14:textId="77777777" w:rsidR="00ED7E69" w:rsidRDefault="00ED7E69">
      <w:pPr>
        <w:pStyle w:val="21"/>
        <w:rPr>
          <w:rFonts w:ascii="仿宋" w:eastAsia="仿宋" w:hAnsi="仿宋"/>
          <w:color w:val="000000"/>
          <w:sz w:val="28"/>
          <w:szCs w:val="28"/>
        </w:rPr>
      </w:pPr>
    </w:p>
    <w:p w14:paraId="2EA733AF" w14:textId="77777777" w:rsidR="00ED7E69" w:rsidRDefault="00ED7E69">
      <w:pPr>
        <w:pStyle w:val="1"/>
        <w:rPr>
          <w:rFonts w:ascii="仿宋" w:eastAsia="仿宋" w:hAnsi="仿宋"/>
          <w:bCs/>
          <w:sz w:val="28"/>
          <w:szCs w:val="28"/>
        </w:rPr>
        <w:sectPr w:rsidR="00ED7E69">
          <w:footerReference r:id="rId44" w:type="default"/>
          <w:footerReference r:id="rId45" w:type="first"/>
          <w:pgSz w:h="16840" w:w="11907"/>
          <w:pgMar w:bottom="1134" w:footer="720" w:gutter="0" w:header="720" w:left="1452" w:right="1452" w:top="1361"/>
          <w:cols w:space="720"/>
          <w:docGrid w:linePitch="286"/>
        </w:sectPr>
      </w:pPr>
    </w:p>
    <w:p w14:paraId="5F767EB0" w14:textId="77777777" w:rsidR="00ED7E69" w:rsidRDefault="00083714">
      <w:pPr>
        <w:pStyle w:val="1"/>
        <w:rPr>
          <w:rFonts w:ascii="仿宋" w:eastAsia="仿宋" w:hAnsi="仿宋"/>
          <w:bCs/>
          <w:sz w:val="28"/>
          <w:szCs w:val="28"/>
        </w:rPr>
      </w:pPr>
      <w:bookmarkStart w:id="66" w:name="_Toc187930241"/>
      <w:r>
        <w:rPr>
          <w:rFonts w:ascii="仿宋" w:eastAsia="仿宋" w:hAnsi="仿宋" w:hint="eastAsia"/>
          <w:bCs/>
          <w:sz w:val="28"/>
          <w:szCs w:val="28"/>
        </w:rPr>
        <w:t xml:space="preserve">第二十一条 </w:t>
      </w:r>
      <w:r>
        <w:rPr>
          <w:rFonts w:ascii="仿宋" w:eastAsia="仿宋" w:hAnsi="仿宋"/>
          <w:bCs/>
          <w:sz w:val="28"/>
          <w:szCs w:val="28"/>
        </w:rPr>
        <w:t>不可抗力</w:t>
      </w:r>
      <w:bookmarkEnd w:id="66"/>
    </w:p>
    <w:p w14:paraId="5FE71607"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21.1</w:t>
      </w:r>
      <w:r>
        <w:rPr>
          <w:rFonts w:ascii="仿宋" w:eastAsia="仿宋" w:hAnsi="仿宋"/>
          <w:color w:val="000000"/>
          <w:sz w:val="28"/>
          <w:szCs w:val="28"/>
        </w:rPr>
        <w:t>如果本协议任何一方因受不可抗力事件影响而未能履行其在本协议下的全部或部分义务，该义务的履行在不可抗力事件妨碍其履行期间应予中止。</w:t>
      </w:r>
    </w:p>
    <w:p w14:paraId="3F45008E"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21.2</w:t>
      </w:r>
      <w:r>
        <w:rPr>
          <w:rFonts w:ascii="仿宋" w:eastAsia="仿宋" w:hAnsi="仿宋"/>
          <w:color w:val="000000"/>
          <w:sz w:val="28"/>
          <w:szCs w:val="28"/>
        </w:rPr>
        <w:t>声称受到不可抗力事件影响的一方应尽可能在最短的时间内通过书面形式将不可抗力事件的发生通知其他当事人，并</w:t>
      </w:r>
      <w:r>
        <w:rPr>
          <w:rFonts w:ascii="仿宋" w:eastAsia="仿宋" w:hAnsi="仿宋" w:hint="eastAsia"/>
          <w:color w:val="000000"/>
          <w:sz w:val="28"/>
          <w:szCs w:val="28"/>
        </w:rPr>
        <w:t>及时</w:t>
      </w:r>
      <w:r>
        <w:rPr>
          <w:rFonts w:ascii="仿宋" w:eastAsia="仿宋" w:hAnsi="仿宋"/>
          <w:color w:val="000000"/>
          <w:sz w:val="28"/>
          <w:szCs w:val="28"/>
        </w:rPr>
        <w:t>向其他当事人提供关于此种不可抗力事件的适当证据。声称不可抗力事件导致其对本协议的履行在客观上成为不可能或不实际的一方，有责任尽一切合理的努力消除或减轻此等不可抗力事件的影响。</w:t>
      </w:r>
    </w:p>
    <w:p w14:paraId="553324A5"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21.3</w:t>
      </w:r>
      <w:r>
        <w:rPr>
          <w:rFonts w:ascii="仿宋" w:eastAsia="仿宋" w:hAnsi="仿宋"/>
          <w:color w:val="000000"/>
          <w:sz w:val="28"/>
          <w:szCs w:val="28"/>
        </w:rPr>
        <w:t>不可抗力事件发生时，各方应立即通过友好协商决定如何执行本协议。不可抗力事件或其影响终止或消除后，各方须立即恢复履行各自在本协议项下的各项义务。</w:t>
      </w:r>
    </w:p>
    <w:p w14:paraId="2611BEB6" w14:textId="77777777" w:rsidR="00ED7E69" w:rsidRDefault="00083714">
      <w:pPr>
        <w:pStyle w:val="21"/>
        <w:rPr>
          <w:rFonts w:ascii="仿宋" w:eastAsia="仿宋" w:hAnsi="仿宋"/>
          <w:color w:val="000000"/>
          <w:sz w:val="28"/>
          <w:szCs w:val="28"/>
        </w:rPr>
      </w:pPr>
      <w:r>
        <w:rPr>
          <w:rFonts w:ascii="仿宋" w:eastAsia="仿宋" w:hAnsi="仿宋" w:hint="eastAsia"/>
          <w:color w:val="000000"/>
          <w:sz w:val="28"/>
          <w:szCs w:val="28"/>
        </w:rPr>
        <w:t>21.4</w:t>
      </w:r>
      <w:r>
        <w:rPr>
          <w:rFonts w:ascii="仿宋" w:eastAsia="仿宋" w:hAnsi="仿宋"/>
          <w:color w:val="000000"/>
          <w:sz w:val="28"/>
          <w:szCs w:val="28"/>
        </w:rPr>
        <w:t>本条所述的不可抗力事件是指</w:t>
      </w:r>
      <w:r>
        <w:rPr>
          <w:rFonts w:ascii="仿宋" w:eastAsia="仿宋" w:hAnsi="仿宋" w:hint="eastAsia"/>
          <w:color w:val="000000"/>
          <w:sz w:val="28"/>
          <w:szCs w:val="28"/>
        </w:rPr>
        <w:t>不能预见、不能避免并不能克服的客观情况。</w:t>
      </w:r>
    </w:p>
    <w:p w14:paraId="11CE0DC2" w14:textId="77777777" w:rsidR="00ED7E69" w:rsidRDefault="00ED7E69">
      <w:pPr>
        <w:rPr>
          <w:rFonts w:ascii="仿宋" w:eastAsia="仿宋" w:hAnsi="仿宋"/>
          <w:color w:val="000000"/>
          <w:sz w:val="28"/>
          <w:szCs w:val="28"/>
        </w:rPr>
      </w:pPr>
      <w:bookmarkStart w:id="67" w:name="_Toc132794330"/>
      <w:bookmarkStart w:id="68" w:name="_Toc132794326"/>
      <w:bookmarkStart w:id="69" w:name="_Toc132794324"/>
      <w:bookmarkStart w:id="70" w:name="_Toc132794327"/>
      <w:bookmarkStart w:id="71" w:name="_Toc132794325"/>
      <w:bookmarkStart w:id="72" w:name="_Toc132794329"/>
      <w:bookmarkStart w:id="73" w:name="_Toc132794328"/>
      <w:bookmarkEnd w:id="67"/>
      <w:bookmarkEnd w:id="68"/>
      <w:bookmarkEnd w:id="69"/>
      <w:bookmarkEnd w:id="70"/>
      <w:bookmarkEnd w:id="71"/>
      <w:bookmarkEnd w:id="72"/>
      <w:bookmarkEnd w:id="73"/>
    </w:p>
    <w:p w14:paraId="28F28373" w14:textId="77777777" w:rsidR="00ED7E69" w:rsidRDefault="00083714">
      <w:pPr>
        <w:rPr>
          <w:rFonts w:ascii="仿宋" w:eastAsia="仿宋" w:hAnsi="仿宋"/>
          <w:color w:val="000000"/>
          <w:sz w:val="28"/>
          <w:szCs w:val="28"/>
        </w:rPr>
      </w:pPr>
      <w:r>
        <w:rPr>
          <w:rFonts w:ascii="仿宋" w:eastAsia="仿宋" w:hAnsi="仿宋" w:hint="eastAsia"/>
          <w:color w:val="000000"/>
          <w:sz w:val="28"/>
          <w:szCs w:val="28"/>
        </w:rPr>
        <w:t>（本页以下无正文）</w:t>
      </w:r>
    </w:p>
    <w:p w14:paraId="7AA9A08D" w14:textId="77777777" w:rsidR="00ED7E69" w:rsidRDefault="00ED7E69"/>
    <w:p w14:paraId="58812FE4" w14:textId="77777777" w:rsidR="00ED7E69" w:rsidRDefault="00ED7E69"/>
    <w:p w14:paraId="6F17229B" w14:textId="77777777" w:rsidR="00ED7E69" w:rsidRDefault="00ED7E69"/>
    <w:p w14:paraId="03498E99" w14:textId="77777777" w:rsidR="00ED7E69" w:rsidRDefault="00ED7E69"/>
    <w:sectPr w:rsidR="00ED7E69" w:rsidSect="00606BD2">
      <w:footerReference r:id="rId46" w:type="default"/>
      <w:headerReference r:id="rId47" w:type="first"/>
      <w:footerReference r:id="rId48" w:type="first"/>
      <w:pgSz w:h="16840" w:w="11907"/>
      <w:pgMar w:bottom="1134" w:footer="720" w:gutter="0" w:header="720" w:left="1452" w:right="1452" w:top="1361"/>
      <w:cols w:space="720"/>
      <w:docGrid w:linePitch="28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E0E6C9" w14:textId="77777777" w:rsidR="005648B1" w:rsidRDefault="005648B1">
      <w:r>
        <w:separator/>
      </w:r>
    </w:p>
  </w:endnote>
  <w:endnote w:type="continuationSeparator" w:id="0">
    <w:p w14:paraId="23E26D40" w14:textId="77777777" w:rsidR="005648B1" w:rsidRDefault="00564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DB177E6" w14:textId="77777777" w:rsidR="00ED7E69" w:rsidRDefault="00083714">
    <w:pPr>
      <w:pStyle w:val="ab"/>
      <w:framePr w:hAnchor="margin" w:vAnchor="text" w:wrap="around" w:xAlign="center" w:y="1"/>
      <w:rPr>
        <w:rStyle w:val="af2"/>
      </w:rPr>
    </w:pPr>
    <w:r>
      <w:fldChar w:fldCharType="begin"/>
    </w:r>
    <w:r>
      <w:rPr>
        <w:rStyle w:val="af2"/>
      </w:rPr>
      <w:instrText xml:space="preserve">PAGE  </w:instrText>
    </w:r>
    <w:r>
      <w:fldChar w:fldCharType="end"/>
    </w:r>
  </w:p>
  <w:p w14:paraId="7C519F46" w14:textId="77777777" w:rsidR="00ED7E69" w:rsidRDefault="00ED7E69">
    <w:pPr>
      <w:pStyle w:val="ab"/>
    </w:pPr>
  </w:p>
</w:ftr>
</file>

<file path=word/footer2.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sdt>
    <w:sdtPr>
      <w:id w:val="-1955242748"/>
    </w:sdtPr>
    <w:sdtEndPr/>
    <w:sdtContent>
      <w:p w14:paraId="6C2D95C5" w14:textId="64E3DBA9" w:rsidR="00ED7E69" w:rsidRDefault="00083714">
        <w:pPr>
          <w:pStyle w:val="ab"/>
          <w:jc w:val="center"/>
        </w:pPr>
        <w:r>
          <w:fldChar w:fldCharType="begin"/>
        </w:r>
        <w:r>
          <w:instrText>PAGE   \* MERGEFORMAT</w:instrText>
        </w:r>
        <w:r>
          <w:fldChar w:fldCharType="separate"/>
        </w:r>
        <w:r w:rsidR="00884544" w:rsidRPr="00884544">
          <w:rPr>
            <w:noProof/>
            <w:lang w:val="zh-CN"/>
          </w:rPr>
          <w:t>2</w:t>
        </w:r>
        <w:r>
          <w:fldChar w:fldCharType="end"/>
        </w:r>
      </w:p>
    </w:sdtContent>
  </w:sdt>
  <w:p w14:paraId="2BD7946A" w14:textId="77777777" w:rsidR="00ED7E69" w:rsidRDefault="00ED7E69">
    <w:pPr>
      <w:pStyle w:val="ab"/>
    </w:pPr>
  </w:p>
</w:ftr>
</file>

<file path=word/footer3.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34E35714" w14:textId="77777777" w:rsidR="00ED7E69" w:rsidRDefault="00ED7E69">
    <w:pPr>
      <w:pStyle w:val="ab"/>
      <w:jc w:val="center"/>
    </w:pPr>
  </w:p>
</w:ftr>
</file>

<file path=word/footer4.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11473B89" w14:textId="54B92167" w:rsidR="00ED7E69" w:rsidRDefault="00083714">
    <w:pPr>
      <w:pStyle w:val="ab"/>
      <w:jc w:val="center"/>
    </w:pPr>
    <w:r>
      <w:fldChar w:fldCharType="begin"/>
    </w:r>
    <w:r>
      <w:instrText xml:space="preserve"> PAGE   \* MERGEFORMAT </w:instrText>
    </w:r>
    <w:r>
      <w:fldChar w:fldCharType="separate"/>
    </w:r>
    <w:r w:rsidRPr="00083714">
      <w:rPr>
        <w:noProof/>
        <w:lang w:val="zh-CN"/>
      </w:rPr>
      <w:t>5</w:t>
    </w:r>
    <w:r>
      <w:rPr>
        <w:lang w:val="zh-CN"/>
      </w:rPr>
      <w:fldChar w:fldCharType="end"/>
    </w:r>
  </w:p>
</w:ftr>
</file>

<file path=word/footer5.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11AC0175" w14:textId="77777777" w:rsidR="00ED7E69" w:rsidRDefault="00083714">
    <w:pPr>
      <w:pStyle w:val="ab"/>
      <w:jc w:val="center"/>
    </w:pPr>
    <w:r>
      <w:rPr>
        <w:rFonts w:hint="eastAsia"/>
      </w:rPr>
      <w:t>4-1-</w:t>
    </w:r>
    <w:r>
      <w:fldChar w:fldCharType="begin"/>
    </w:r>
    <w:r>
      <w:instrText xml:space="preserve"> PAGE   \* MERGEFORMAT </w:instrText>
    </w:r>
    <w:r>
      <w:fldChar w:fldCharType="separate"/>
    </w:r>
    <w:r>
      <w:rPr>
        <w:lang w:val="zh-CN"/>
      </w:rPr>
      <w:t>4</w:t>
    </w:r>
    <w:r>
      <w:rPr>
        <w:lang w:val="zh-CN"/>
      </w:rPr>
      <w:fldChar w:fldCharType="end"/>
    </w:r>
  </w:p>
</w:ftr>
</file>

<file path=word/footer6.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101B0B71" w14:textId="7A1BD5F0" w:rsidR="00ED7E69" w:rsidRDefault="00083714">
    <w:pPr>
      <w:pStyle w:val="ab"/>
      <w:jc w:val="center"/>
    </w:pPr>
    <w:r>
      <w:fldChar w:fldCharType="begin"/>
    </w:r>
    <w:r>
      <w:instrText xml:space="preserve"> PAGE   \* MERGEFORMAT </w:instrText>
    </w:r>
    <w:r>
      <w:fldChar w:fldCharType="separate"/>
    </w:r>
    <w:r w:rsidRPr="00083714">
      <w:rPr>
        <w:noProof/>
        <w:lang w:val="zh-CN"/>
      </w:rPr>
      <w:t>6</w:t>
    </w:r>
    <w:r>
      <w:rPr>
        <w:lang w:val="zh-CN"/>
      </w:rPr>
      <w:fldChar w:fldCharType="end"/>
    </w:r>
  </w:p>
</w:ftr>
</file>

<file path=word/footer7.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2D87BB7E" w14:textId="77777777" w:rsidR="00ED7E69" w:rsidRDefault="00083714">
    <w:pPr>
      <w:pStyle w:val="ab"/>
      <w:jc w:val="center"/>
    </w:pPr>
    <w:r>
      <w:rPr>
        <w:rFonts w:hint="eastAsia"/>
      </w:rPr>
      <w:t>4-2-</w:t>
    </w:r>
    <w:r>
      <w:fldChar w:fldCharType="begin"/>
    </w:r>
    <w:r>
      <w:instrText xml:space="preserve"> PAGE   \* MERGEFORMAT </w:instrText>
    </w:r>
    <w:r>
      <w:fldChar w:fldCharType="separate"/>
    </w:r>
    <w:r>
      <w:rPr>
        <w:lang w:val="zh-CN"/>
      </w:rPr>
      <w:t>5</w:t>
    </w:r>
    <w:r>
      <w:rPr>
        <w:lang w:val="zh-CN"/>
      </w:rPr>
      <w:fldChar w:fldCharType="end"/>
    </w:r>
  </w:p>
</w:ftr>
</file>

<file path=word/footer8.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204B518B" w14:textId="163C375E" w:rsidR="00ED7E69" w:rsidRDefault="00083714">
    <w:pPr>
      <w:pStyle w:val="ab"/>
      <w:jc w:val="center"/>
    </w:pPr>
    <w:r>
      <w:fldChar w:fldCharType="begin"/>
    </w:r>
    <w:r>
      <w:instrText xml:space="preserve"> PAGE   \* MERGEFORMAT </w:instrText>
    </w:r>
    <w:r>
      <w:fldChar w:fldCharType="separate"/>
    </w:r>
    <w:r w:rsidRPr="00083714">
      <w:rPr>
        <w:noProof/>
        <w:lang w:val="zh-CN"/>
      </w:rPr>
      <w:t>13</w:t>
    </w:r>
    <w:r>
      <w:rPr>
        <w:lang w:val="zh-CN"/>
      </w:rPr>
      <w:fldChar w:fldCharType="end"/>
    </w:r>
  </w:p>
</w:ftr>
</file>

<file path=word/footer9.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86D62B1" w14:textId="77777777" w:rsidR="00ED7E69" w:rsidRDefault="00083714">
    <w:pPr>
      <w:pStyle w:val="ab"/>
      <w:jc w:val="center"/>
    </w:pPr>
    <w:r>
      <w:rPr>
        <w:rFonts w:hint="eastAsia"/>
      </w:rPr>
      <w:t>4-3-</w:t>
    </w:r>
    <w:r>
      <w:fldChar w:fldCharType="begin"/>
    </w:r>
    <w:r>
      <w:instrText xml:space="preserve"> PAGE   \* MERGEFORMAT </w:instrText>
    </w:r>
    <w:r>
      <w:fldChar w:fldCharType="separate"/>
    </w:r>
    <w:r>
      <w:rPr>
        <w:lang w:val="zh-CN"/>
      </w:rPr>
      <w:t>6</w:t>
    </w:r>
    <w:r>
      <w:rPr>
        <w:lang w:val="zh-CN"/>
      </w:rPr>
      <w:fldChar w:fldCharType="end"/>
    </w:r>
  </w:p>
</w:ftr>
</file>

<file path=word/footer10.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210C6406" w14:textId="646F1391" w:rsidR="00ED7E69" w:rsidRDefault="00083714">
    <w:pPr>
      <w:pStyle w:val="ab"/>
      <w:jc w:val="center"/>
    </w:pPr>
    <w:r>
      <w:fldChar w:fldCharType="begin"/>
    </w:r>
    <w:r>
      <w:instrText xml:space="preserve"> PAGE   \* MERGEFORMAT </w:instrText>
    </w:r>
    <w:r>
      <w:fldChar w:fldCharType="separate"/>
    </w:r>
    <w:r w:rsidRPr="00083714">
      <w:rPr>
        <w:noProof/>
        <w:lang w:val="zh-CN"/>
      </w:rPr>
      <w:t>14</w:t>
    </w:r>
    <w:r>
      <w:rPr>
        <w:lang w:val="zh-CN"/>
      </w:rPr>
      <w:fldChar w:fldCharType="end"/>
    </w:r>
  </w:p>
</w:ftr>
</file>

<file path=word/footer11.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2B23F7A2" w14:textId="77777777" w:rsidR="00ED7E69" w:rsidRDefault="00083714">
    <w:pPr>
      <w:pStyle w:val="ab"/>
      <w:jc w:val="center"/>
    </w:pPr>
    <w:r>
      <w:rPr>
        <w:rFonts w:hint="eastAsia"/>
      </w:rPr>
      <w:t>4-4-</w:t>
    </w:r>
    <w:r>
      <w:fldChar w:fldCharType="begin"/>
    </w:r>
    <w:r>
      <w:instrText xml:space="preserve"> PAGE   \* MERGEFORMAT </w:instrText>
    </w:r>
    <w:r>
      <w:fldChar w:fldCharType="separate"/>
    </w:r>
    <w:r>
      <w:rPr>
        <w:lang w:val="zh-CN"/>
      </w:rPr>
      <w:t>14</w:t>
    </w:r>
    <w:r>
      <w:rPr>
        <w:lang w:val="zh-CN"/>
      </w:rPr>
      <w:fldChar w:fldCharType="end"/>
    </w:r>
  </w:p>
</w:ftr>
</file>

<file path=word/footer12.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2C4191E9" w14:textId="2A548178" w:rsidR="00ED7E69" w:rsidRDefault="00083714">
    <w:pPr>
      <w:pStyle w:val="ab"/>
      <w:jc w:val="center"/>
    </w:pPr>
    <w:r>
      <w:fldChar w:fldCharType="begin"/>
    </w:r>
    <w:r>
      <w:instrText xml:space="preserve"> PAGE   \* MERGEFORMAT </w:instrText>
    </w:r>
    <w:r>
      <w:fldChar w:fldCharType="separate"/>
    </w:r>
    <w:r w:rsidRPr="00083714">
      <w:rPr>
        <w:noProof/>
        <w:lang w:val="zh-CN"/>
      </w:rPr>
      <w:t>18</w:t>
    </w:r>
    <w:r>
      <w:rPr>
        <w:lang w:val="zh-CN"/>
      </w:rPr>
      <w:fldChar w:fldCharType="end"/>
    </w:r>
  </w:p>
</w:ftr>
</file>

<file path=word/footer13.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6719CABD" w14:textId="77777777" w:rsidR="00ED7E69" w:rsidRDefault="00083714">
    <w:pPr>
      <w:pStyle w:val="ab"/>
      <w:jc w:val="center"/>
    </w:pPr>
    <w:r>
      <w:rPr>
        <w:rFonts w:hint="eastAsia"/>
      </w:rPr>
      <w:t>4-6-</w:t>
    </w:r>
    <w:r>
      <w:fldChar w:fldCharType="begin"/>
    </w:r>
    <w:r>
      <w:instrText xml:space="preserve"> PAGE   \* MERGEFORMAT </w:instrText>
    </w:r>
    <w:r>
      <w:fldChar w:fldCharType="separate"/>
    </w:r>
    <w:r>
      <w:rPr>
        <w:lang w:val="zh-CN"/>
      </w:rPr>
      <w:t>18</w:t>
    </w:r>
    <w:r>
      <w:rPr>
        <w:lang w:val="zh-CN"/>
      </w:rPr>
      <w:fldChar w:fldCharType="end"/>
    </w:r>
  </w:p>
</w:ftr>
</file>

<file path=word/footer14.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499F8EEE" w14:textId="4976B968" w:rsidR="00ED7E69" w:rsidRDefault="00083714">
    <w:pPr>
      <w:pStyle w:val="ab"/>
      <w:jc w:val="center"/>
    </w:pPr>
    <w:r>
      <w:fldChar w:fldCharType="begin"/>
    </w:r>
    <w:r>
      <w:instrText xml:space="preserve"> PAGE   \* MERGEFORMAT </w:instrText>
    </w:r>
    <w:r>
      <w:fldChar w:fldCharType="separate"/>
    </w:r>
    <w:r w:rsidRPr="00083714">
      <w:rPr>
        <w:noProof/>
        <w:lang w:val="zh-CN"/>
      </w:rPr>
      <w:t>20</w:t>
    </w:r>
    <w:r>
      <w:rPr>
        <w:lang w:val="zh-CN"/>
      </w:rPr>
      <w:fldChar w:fldCharType="end"/>
    </w:r>
  </w:p>
</w:ftr>
</file>

<file path=word/footer15.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3B448F75" w14:textId="77777777" w:rsidR="00ED7E69" w:rsidRDefault="00083714">
    <w:pPr>
      <w:pStyle w:val="ab"/>
      <w:jc w:val="center"/>
    </w:pPr>
    <w:r>
      <w:rPr>
        <w:rFonts w:hint="eastAsia"/>
      </w:rPr>
      <w:t>4-8-</w:t>
    </w:r>
    <w:r>
      <w:fldChar w:fldCharType="begin"/>
    </w:r>
    <w:r>
      <w:instrText xml:space="preserve"> PAGE   \* MERGEFORMAT </w:instrText>
    </w:r>
    <w:r>
      <w:fldChar w:fldCharType="separate"/>
    </w:r>
    <w:r>
      <w:rPr>
        <w:lang w:val="zh-CN"/>
      </w:rPr>
      <w:t>24</w:t>
    </w:r>
    <w:r>
      <w:rPr>
        <w:lang w:val="zh-CN"/>
      </w:rPr>
      <w:fldChar w:fldCharType="end"/>
    </w:r>
  </w:p>
</w:ftr>
</file>

<file path=word/footer16.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4C2B8444" w14:textId="67548CE8" w:rsidR="00ED7E69" w:rsidRDefault="00083714">
    <w:pPr>
      <w:pStyle w:val="ab"/>
      <w:jc w:val="center"/>
    </w:pPr>
    <w:r>
      <w:fldChar w:fldCharType="begin"/>
    </w:r>
    <w:r>
      <w:instrText xml:space="preserve"> PAGE   \* MERGEFORMAT </w:instrText>
    </w:r>
    <w:r>
      <w:fldChar w:fldCharType="separate"/>
    </w:r>
    <w:r w:rsidRPr="00083714">
      <w:rPr>
        <w:noProof/>
        <w:lang w:val="zh-CN"/>
      </w:rPr>
      <w:t>25</w:t>
    </w:r>
    <w:r>
      <w:rPr>
        <w:lang w:val="zh-CN"/>
      </w:rPr>
      <w:fldChar w:fldCharType="end"/>
    </w:r>
  </w:p>
</w:ftr>
</file>

<file path=word/footer17.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48223199" w14:textId="1C7C3C4B" w:rsidR="00ED7E69" w:rsidRDefault="00083714">
    <w:pPr>
      <w:pStyle w:val="ab"/>
      <w:jc w:val="center"/>
    </w:pPr>
    <w:r>
      <w:fldChar w:fldCharType="begin"/>
    </w:r>
    <w:r>
      <w:instrText xml:space="preserve"> PAGE   \* MERGEFORMAT </w:instrText>
    </w:r>
    <w:r>
      <w:fldChar w:fldCharType="separate"/>
    </w:r>
    <w:r w:rsidRPr="00083714">
      <w:rPr>
        <w:noProof/>
        <w:lang w:val="zh-CN"/>
      </w:rPr>
      <w:t>27</w:t>
    </w:r>
    <w:r>
      <w:rPr>
        <w:lang w:val="zh-CN"/>
      </w:rPr>
      <w:fldChar w:fldCharType="end"/>
    </w:r>
  </w:p>
</w:ftr>
</file>

<file path=word/footer18.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398BA3CD" w14:textId="77777777" w:rsidR="00ED7E69" w:rsidRDefault="00083714">
    <w:pPr>
      <w:pStyle w:val="ab"/>
      <w:jc w:val="center"/>
    </w:pPr>
    <w:r>
      <w:rPr>
        <w:rFonts w:hint="eastAsia"/>
      </w:rPr>
      <w:t>4-9-</w:t>
    </w:r>
    <w:r>
      <w:fldChar w:fldCharType="begin"/>
    </w:r>
    <w:r>
      <w:instrText xml:space="preserve"> PAGE   \* MERGEFORMAT </w:instrText>
    </w:r>
    <w:r>
      <w:fldChar w:fldCharType="separate"/>
    </w:r>
    <w:r>
      <w:rPr>
        <w:lang w:val="zh-CN"/>
      </w:rPr>
      <w:t>28</w:t>
    </w:r>
    <w:r>
      <w:rPr>
        <w:lang w:val="zh-CN"/>
      </w:rPr>
      <w:fldChar w:fldCharType="end"/>
    </w:r>
  </w:p>
</w:ftr>
</file>

<file path=word/footer19.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1A1B59E" w14:textId="174606A5" w:rsidR="00ED7E69" w:rsidRDefault="00083714">
    <w:pPr>
      <w:pStyle w:val="ab"/>
      <w:jc w:val="center"/>
    </w:pPr>
    <w:r>
      <w:fldChar w:fldCharType="begin"/>
    </w:r>
    <w:r>
      <w:instrText xml:space="preserve"> PAGE   \* MERGEFORMAT </w:instrText>
    </w:r>
    <w:r>
      <w:fldChar w:fldCharType="separate"/>
    </w:r>
    <w:r w:rsidRPr="00083714">
      <w:rPr>
        <w:noProof/>
        <w:lang w:val="zh-CN"/>
      </w:rPr>
      <w:t>29</w:t>
    </w:r>
    <w:r>
      <w:rPr>
        <w:lang w:val="zh-CN"/>
      </w:rPr>
      <w:fldChar w:fldCharType="end"/>
    </w:r>
  </w:p>
</w:ftr>
</file>

<file path=word/footer20.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69C09509" w14:textId="77777777" w:rsidR="00ED7E69" w:rsidRDefault="00083714">
    <w:pPr>
      <w:pStyle w:val="ab"/>
      <w:jc w:val="center"/>
    </w:pPr>
    <w:r>
      <w:rPr>
        <w:rFonts w:hint="eastAsia"/>
      </w:rPr>
      <w:t>4-10-</w:t>
    </w:r>
    <w:r>
      <w:fldChar w:fldCharType="begin"/>
    </w:r>
    <w:r>
      <w:instrText xml:space="preserve"> PAGE   \* MERGEFORMAT </w:instrText>
    </w:r>
    <w:r>
      <w:fldChar w:fldCharType="separate"/>
    </w:r>
    <w:r>
      <w:rPr>
        <w:lang w:val="zh-CN"/>
      </w:rPr>
      <w:t>29</w:t>
    </w:r>
    <w:r>
      <w:rPr>
        <w:lang w:val="zh-CN"/>
      </w:rPr>
      <w:fldChar w:fldCharType="end"/>
    </w:r>
  </w:p>
</w:ftr>
</file>

<file path=word/footer21.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6FEF9A94" w14:textId="7A2AEAC9" w:rsidR="00ED7E69" w:rsidRDefault="00083714">
    <w:pPr>
      <w:pStyle w:val="ab"/>
      <w:jc w:val="center"/>
    </w:pPr>
    <w:r>
      <w:fldChar w:fldCharType="begin"/>
    </w:r>
    <w:r>
      <w:instrText xml:space="preserve"> PAGE   \* MERGEFORMAT </w:instrText>
    </w:r>
    <w:r>
      <w:fldChar w:fldCharType="separate"/>
    </w:r>
    <w:r w:rsidRPr="00083714">
      <w:rPr>
        <w:noProof/>
        <w:lang w:val="zh-CN"/>
      </w:rPr>
      <w:t>33</w:t>
    </w:r>
    <w:r>
      <w:rPr>
        <w:lang w:val="zh-CN"/>
      </w:rPr>
      <w:fldChar w:fldCharType="end"/>
    </w:r>
  </w:p>
</w:ftr>
</file>

<file path=word/footer22.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9F86730" w14:textId="77777777" w:rsidR="00ED7E69" w:rsidRDefault="00083714">
    <w:pPr>
      <w:pStyle w:val="ab"/>
      <w:jc w:val="center"/>
    </w:pPr>
    <w:r>
      <w:rPr>
        <w:rFonts w:hint="eastAsia"/>
      </w:rPr>
      <w:t>4-12-</w:t>
    </w:r>
    <w:r>
      <w:fldChar w:fldCharType="begin"/>
    </w:r>
    <w:r>
      <w:instrText xml:space="preserve"> PAGE   \* MERGEFORMAT </w:instrText>
    </w:r>
    <w:r>
      <w:fldChar w:fldCharType="separate"/>
    </w:r>
    <w:r>
      <w:rPr>
        <w:lang w:val="zh-CN"/>
      </w:rPr>
      <w:t>33</w:t>
    </w:r>
    <w:r>
      <w:rPr>
        <w:lang w:val="zh-CN"/>
      </w:rPr>
      <w:fldChar w:fldCharType="end"/>
    </w:r>
  </w:p>
</w:ftr>
</file>

<file path=word/footer23.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0064612" w14:textId="0E3B1726" w:rsidR="00ED7E69" w:rsidRDefault="00083714">
    <w:pPr>
      <w:pStyle w:val="ab"/>
      <w:jc w:val="center"/>
    </w:pPr>
    <w:r>
      <w:fldChar w:fldCharType="begin"/>
    </w:r>
    <w:r>
      <w:instrText xml:space="preserve"> PAGE   \* MERGEFORMAT </w:instrText>
    </w:r>
    <w:r>
      <w:fldChar w:fldCharType="separate"/>
    </w:r>
    <w:r w:rsidRPr="00083714">
      <w:rPr>
        <w:noProof/>
        <w:lang w:val="zh-CN"/>
      </w:rPr>
      <w:t>34</w:t>
    </w:r>
    <w:r>
      <w:rPr>
        <w:lang w:val="zh-CN"/>
      </w:rPr>
      <w:fldChar w:fldCharType="end"/>
    </w:r>
  </w:p>
</w:ftr>
</file>

<file path=word/footer24.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70C4FA28" w14:textId="20DC7F10" w:rsidR="00ED7E69" w:rsidRDefault="00083714">
    <w:pPr>
      <w:pStyle w:val="ab"/>
      <w:jc w:val="center"/>
    </w:pPr>
    <w:r>
      <w:fldChar w:fldCharType="begin"/>
    </w:r>
    <w:r>
      <w:instrText xml:space="preserve"> PAGE   \* MERGEFORMAT </w:instrText>
    </w:r>
    <w:r>
      <w:fldChar w:fldCharType="separate"/>
    </w:r>
    <w:r w:rsidRPr="00083714">
      <w:rPr>
        <w:noProof/>
        <w:lang w:val="zh-CN"/>
      </w:rPr>
      <w:t>35</w:t>
    </w:r>
    <w:r>
      <w:rPr>
        <w:lang w:val="zh-CN"/>
      </w:rPr>
      <w:fldChar w:fldCharType="end"/>
    </w:r>
  </w:p>
</w:ftr>
</file>

<file path=word/footer25.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3C9C550C" w14:textId="77777777" w:rsidR="00ED7E69" w:rsidRDefault="00083714">
    <w:pPr>
      <w:pStyle w:val="ab"/>
      <w:jc w:val="center"/>
    </w:pPr>
    <w:r>
      <w:rPr>
        <w:rFonts w:hint="eastAsia"/>
      </w:rPr>
      <w:t>4-14-</w:t>
    </w:r>
    <w:r>
      <w:fldChar w:fldCharType="begin"/>
    </w:r>
    <w:r>
      <w:instrText xml:space="preserve"> PAGE   \* MERGEFORMAT </w:instrText>
    </w:r>
    <w:r>
      <w:fldChar w:fldCharType="separate"/>
    </w:r>
    <w:r>
      <w:rPr>
        <w:lang w:val="zh-CN"/>
      </w:rPr>
      <w:t>35</w:t>
    </w:r>
    <w:r>
      <w:rPr>
        <w:lang w:val="zh-CN"/>
      </w:rPr>
      <w:fldChar w:fldCharType="end"/>
    </w:r>
  </w:p>
</w:ftr>
</file>

<file path=word/footer26.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06BBB606" w14:textId="64BD483C" w:rsidR="00ED7E69" w:rsidRDefault="00083714">
    <w:pPr>
      <w:pStyle w:val="ab"/>
      <w:jc w:val="center"/>
    </w:pPr>
    <w:r>
      <w:fldChar w:fldCharType="begin"/>
    </w:r>
    <w:r>
      <w:instrText xml:space="preserve"> PAGE   \* MERGEFORMAT </w:instrText>
    </w:r>
    <w:r>
      <w:fldChar w:fldCharType="separate"/>
    </w:r>
    <w:r w:rsidRPr="00083714">
      <w:rPr>
        <w:noProof/>
        <w:lang w:val="zh-CN"/>
      </w:rPr>
      <w:t>38</w:t>
    </w:r>
    <w:r>
      <w:rPr>
        <w:lang w:val="zh-CN"/>
      </w:rPr>
      <w:fldChar w:fldCharType="end"/>
    </w:r>
  </w:p>
</w:ftr>
</file>

<file path=word/footer27.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1E2D46F4" w14:textId="3EEEFFF2" w:rsidR="00ED7E69" w:rsidRDefault="00083714">
    <w:pPr>
      <w:pStyle w:val="ab"/>
      <w:jc w:val="center"/>
    </w:pPr>
    <w:r>
      <w:fldChar w:fldCharType="begin"/>
    </w:r>
    <w:r>
      <w:instrText xml:space="preserve"> PAGE   \* MERGEFORMAT </w:instrText>
    </w:r>
    <w:r>
      <w:fldChar w:fldCharType="separate"/>
    </w:r>
    <w:r w:rsidRPr="00083714">
      <w:rPr>
        <w:noProof/>
        <w:lang w:val="zh-CN"/>
      </w:rPr>
      <w:t>39</w:t>
    </w:r>
    <w:r>
      <w:rPr>
        <w:lang w:val="zh-CN"/>
      </w:rPr>
      <w:fldChar w:fldCharType="end"/>
    </w:r>
  </w:p>
</w:ftr>
</file>

<file path=word/footer28.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26A77F49" w14:textId="77777777" w:rsidR="00ED7E69" w:rsidRDefault="00083714">
    <w:pPr>
      <w:pStyle w:val="ab"/>
      <w:jc w:val="center"/>
    </w:pPr>
    <w:r>
      <w:rPr>
        <w:rFonts w:hint="eastAsia"/>
      </w:rPr>
      <w:t>4-15-</w:t>
    </w:r>
    <w:r>
      <w:fldChar w:fldCharType="begin"/>
    </w:r>
    <w:r>
      <w:instrText xml:space="preserve"> PAGE   \* MERGEFORMAT </w:instrText>
    </w:r>
    <w:r>
      <w:fldChar w:fldCharType="separate"/>
    </w:r>
    <w:r>
      <w:rPr>
        <w:lang w:val="zh-CN"/>
      </w:rPr>
      <w:t>38</w:t>
    </w:r>
    <w:r>
      <w:rPr>
        <w:lang w:val="zh-CN"/>
      </w:rPr>
      <w:fldChar w:fldCharType="end"/>
    </w:r>
  </w:p>
</w:ftr>
</file>

<file path=word/footer29.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3A1B40F8" w14:textId="35B71E60" w:rsidR="00ED7E69" w:rsidRDefault="00083714">
    <w:pPr>
      <w:pStyle w:val="ab"/>
      <w:jc w:val="center"/>
    </w:pPr>
    <w:r>
      <w:fldChar w:fldCharType="begin"/>
    </w:r>
    <w:r>
      <w:instrText xml:space="preserve"> PAGE   \* MERGEFORMAT </w:instrText>
    </w:r>
    <w:r>
      <w:fldChar w:fldCharType="separate"/>
    </w:r>
    <w:r w:rsidRPr="00083714">
      <w:rPr>
        <w:noProof/>
        <w:lang w:val="zh-CN"/>
      </w:rPr>
      <w:t>41</w:t>
    </w:r>
    <w:r>
      <w:rPr>
        <w:lang w:val="zh-CN"/>
      </w:rPr>
      <w:fldChar w:fldCharType="end"/>
    </w:r>
  </w:p>
</w:ftr>
</file>

<file path=word/footer30.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67F71F0A" w14:textId="77777777" w:rsidR="00ED7E69" w:rsidRDefault="00083714">
    <w:pPr>
      <w:pStyle w:val="ab"/>
      <w:jc w:val="center"/>
    </w:pPr>
    <w:r>
      <w:rPr>
        <w:rFonts w:hint="eastAsia"/>
      </w:rPr>
      <w:t>4-16-</w:t>
    </w:r>
    <w:r>
      <w:fldChar w:fldCharType="begin"/>
    </w:r>
    <w:r>
      <w:instrText xml:space="preserve"> PAGE   \* MERGEFORMAT </w:instrText>
    </w:r>
    <w:r>
      <w:fldChar w:fldCharType="separate"/>
    </w:r>
    <w:r>
      <w:rPr>
        <w:lang w:val="zh-CN"/>
      </w:rPr>
      <w:t>39</w:t>
    </w:r>
    <w:r>
      <w:rPr>
        <w:lang w:val="zh-CN"/>
      </w:rPr>
      <w:fldChar w:fldCharType="end"/>
    </w:r>
  </w:p>
</w:ftr>
</file>

<file path=word/footer31.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45E58F13" w14:textId="3DC7E4D4" w:rsidR="00ED7E69" w:rsidRDefault="00083714">
    <w:pPr>
      <w:pStyle w:val="ab"/>
      <w:jc w:val="center"/>
    </w:pPr>
    <w:r>
      <w:fldChar w:fldCharType="begin"/>
    </w:r>
    <w:r>
      <w:instrText xml:space="preserve"> PAGE   \* MERGEFORMAT </w:instrText>
    </w:r>
    <w:r>
      <w:fldChar w:fldCharType="separate"/>
    </w:r>
    <w:r w:rsidRPr="00083714">
      <w:rPr>
        <w:noProof/>
        <w:lang w:val="zh-CN"/>
      </w:rPr>
      <w:t>42</w:t>
    </w:r>
    <w:r>
      <w:rPr>
        <w:lang w:val="zh-CN"/>
      </w:rPr>
      <w:fldChar w:fldCharType="end"/>
    </w:r>
  </w:p>
</w:ftr>
</file>

<file path=word/footer32.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277EBEB" w14:textId="77777777" w:rsidR="00ED7E69" w:rsidRDefault="00083714">
    <w:pPr>
      <w:pStyle w:val="ab"/>
      <w:jc w:val="center"/>
    </w:pPr>
    <w:r>
      <w:rPr>
        <w:rFonts w:hint="eastAsia"/>
      </w:rPr>
      <w:t>4-17-</w:t>
    </w:r>
    <w:r>
      <w:fldChar w:fldCharType="begin"/>
    </w:r>
    <w:r>
      <w:instrText xml:space="preserve"> PAGE   \* MERGEFORMAT </w:instrText>
    </w:r>
    <w:r>
      <w:fldChar w:fldCharType="separate"/>
    </w:r>
    <w:r>
      <w:rPr>
        <w:lang w:val="zh-CN"/>
      </w:rPr>
      <w:t>41</w:t>
    </w:r>
    <w:r>
      <w:rPr>
        <w:lang w:val="zh-CN"/>
      </w:rPr>
      <w:fldChar w:fldCharType="end"/>
    </w:r>
  </w:p>
</w:ftr>
</file>

<file path=word/footer33.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3B0B210D" w14:textId="48542D4E" w:rsidR="00ED7E69" w:rsidRDefault="00083714">
    <w:pPr>
      <w:pStyle w:val="ab"/>
      <w:jc w:val="center"/>
    </w:pPr>
    <w:r>
      <w:fldChar w:fldCharType="begin"/>
    </w:r>
    <w:r>
      <w:instrText xml:space="preserve"> PAGE   \* MERGEFORMAT </w:instrText>
    </w:r>
    <w:r>
      <w:fldChar w:fldCharType="separate"/>
    </w:r>
    <w:r w:rsidRPr="00083714">
      <w:rPr>
        <w:noProof/>
        <w:lang w:val="zh-CN"/>
      </w:rPr>
      <w:t>43</w:t>
    </w:r>
    <w:r>
      <w:rPr>
        <w:lang w:val="zh-CN"/>
      </w:rPr>
      <w:fldChar w:fldCharType="end"/>
    </w:r>
  </w:p>
</w:ftr>
</file>

<file path=word/footer34.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0A2D07D" w14:textId="77777777" w:rsidR="00ED7E69" w:rsidRDefault="00083714">
    <w:pPr>
      <w:pStyle w:val="ab"/>
      <w:jc w:val="center"/>
    </w:pPr>
    <w:r>
      <w:rPr>
        <w:rFonts w:hint="eastAsia"/>
      </w:rPr>
      <w:t>4-18-</w:t>
    </w:r>
    <w:r>
      <w:fldChar w:fldCharType="begin"/>
    </w:r>
    <w:r>
      <w:instrText xml:space="preserve"> PAGE   \* MERGEFORMAT </w:instrText>
    </w:r>
    <w:r>
      <w:fldChar w:fldCharType="separate"/>
    </w:r>
    <w:r>
      <w:rPr>
        <w:lang w:val="zh-CN"/>
      </w:rPr>
      <w:t>42</w:t>
    </w:r>
    <w:r>
      <w:rPr>
        <w:lang w:val="zh-CN"/>
      </w:rPr>
      <w:fldChar w:fldCharType="end"/>
    </w:r>
  </w:p>
</w:ftr>
</file>

<file path=word/footer35.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9E1D09C" w14:textId="3DF4F710" w:rsidR="00ED7E69" w:rsidRDefault="00083714">
    <w:pPr>
      <w:pStyle w:val="ab"/>
      <w:jc w:val="center"/>
    </w:pPr>
    <w:r>
      <w:fldChar w:fldCharType="begin"/>
    </w:r>
    <w:r>
      <w:instrText xml:space="preserve"> PAGE   \* MERGEFORMAT </w:instrText>
    </w:r>
    <w:r>
      <w:fldChar w:fldCharType="separate"/>
    </w:r>
    <w:r w:rsidRPr="00083714">
      <w:rPr>
        <w:noProof/>
        <w:lang w:val="zh-CN"/>
      </w:rPr>
      <w:t>44</w:t>
    </w:r>
    <w:r>
      <w:rPr>
        <w:lang w:val="zh-CN"/>
      </w:rPr>
      <w:fldChar w:fldCharType="end"/>
    </w:r>
  </w:p>
</w:ftr>
</file>

<file path=word/footer36.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2378473" w14:textId="77777777" w:rsidR="00ED7E69" w:rsidRDefault="00083714">
    <w:pPr>
      <w:pStyle w:val="ab"/>
      <w:jc w:val="center"/>
    </w:pPr>
    <w:r>
      <w:rPr>
        <w:rFonts w:hint="eastAsia"/>
      </w:rPr>
      <w:t>4-19-</w:t>
    </w:r>
    <w:r>
      <w:fldChar w:fldCharType="begin"/>
    </w:r>
    <w:r>
      <w:instrText xml:space="preserve"> PAGE   \* MERGEFORMAT </w:instrText>
    </w:r>
    <w:r>
      <w:fldChar w:fldCharType="separate"/>
    </w:r>
    <w:r>
      <w:rPr>
        <w:lang w:val="zh-CN"/>
      </w:rPr>
      <w:t>43</w:t>
    </w:r>
    <w:r>
      <w:rPr>
        <w:lang w:val="zh-CN"/>
      </w:rPr>
      <w:fldChar w:fldCharType="end"/>
    </w:r>
  </w:p>
</w:ftr>
</file>

<file path=word/footer37.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725D4284" w14:textId="635D5BB5" w:rsidR="00ED7E69" w:rsidRDefault="00083714">
    <w:pPr>
      <w:pStyle w:val="ab"/>
      <w:jc w:val="center"/>
    </w:pPr>
    <w:r>
      <w:fldChar w:fldCharType="begin"/>
    </w:r>
    <w:r>
      <w:instrText xml:space="preserve"> PAGE   \* MERGEFORMAT </w:instrText>
    </w:r>
    <w:r>
      <w:fldChar w:fldCharType="separate"/>
    </w:r>
    <w:r w:rsidRPr="00083714">
      <w:rPr>
        <w:noProof/>
        <w:lang w:val="zh-CN"/>
      </w:rPr>
      <w:t>45</w:t>
    </w:r>
    <w:r>
      <w:rPr>
        <w:lang w:val="zh-CN"/>
      </w:rPr>
      <w:fldChar w:fldCharType="end"/>
    </w:r>
  </w:p>
</w:ftr>
</file>

<file path=word/footer38.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34E39E32" w14:textId="77777777" w:rsidR="00ED7E69" w:rsidRDefault="00083714">
    <w:pPr>
      <w:pStyle w:val="ab"/>
      <w:jc w:val="center"/>
    </w:pPr>
    <w:r>
      <w:rPr>
        <w:rFonts w:hint="eastAsia"/>
      </w:rPr>
      <w:t>4-20-</w:t>
    </w:r>
    <w:r>
      <w:fldChar w:fldCharType="begin"/>
    </w:r>
    <w:r>
      <w:instrText xml:space="preserve"> PAGE   \* MERGEFORMAT </w:instrText>
    </w:r>
    <w:r>
      <w:fldChar w:fldCharType="separate"/>
    </w:r>
    <w:r>
      <w:rPr>
        <w:lang w:val="zh-CN"/>
      </w:rPr>
      <w:t>0</w:t>
    </w:r>
    <w:r>
      <w:rPr>
        <w:lang w:val="zh-CN"/>
      </w:rPr>
      <w:fldChar w:fldCharType="end"/>
    </w:r>
  </w:p>
</w:ftr>
</file>

<file path=word/footer39.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sdt>
    <w:sdtPr>
      <w:id w:val="1935021142"/>
      <w:docPartObj>
        <w:docPartGallery w:val="Page Numbers (Bottom of Page)"/>
        <w:docPartUnique/>
      </w:docPartObj>
    </w:sdtPr>
    <w:sdtEndPr>
      <w:rPr>
        <w:rFonts w:ascii="Times New Roman" w:cs="Times New Roman" w:hAnsi="Times New Roman"/>
      </w:rPr>
    </w:sdtEndPr>
    <w:sdtContent>
      <w:p w14:paraId="693A50EA" w14:textId="32F7E37F" w:rsidP="00606BD2" w:rsidR="00ED7E69" w:rsidRDefault="001C686F" w:rsidRPr="00606BD2">
        <w:pPr>
          <w:pStyle w:val="ab"/>
          <w:jc w:val="center"/>
          <w:rPr>
            <w:rFonts w:ascii="Times New Roman" w:cs="Times New Roman" w:hAnsi="Times New Roman"/>
          </w:rPr>
        </w:pPr>
        <w:r w:rsidRPr="00606BD2">
          <w:rPr>
            <w:rFonts w:ascii="Times New Roman" w:cs="Times New Roman" w:hAnsi="Times New Roman"/>
          </w:rPr>
          <w:fldChar w:fldCharType="begin"/>
        </w:r>
        <w:r w:rsidRPr="00606BD2">
          <w:rPr>
            <w:rFonts w:ascii="Times New Roman" w:cs="Times New Roman" w:hAnsi="Times New Roman"/>
          </w:rPr>
          <w:instrText>PAGE   \* MERGEFORMAT</w:instrText>
        </w:r>
        <w:r w:rsidRPr="00606BD2">
          <w:rPr>
            <w:rFonts w:ascii="Times New Roman" w:cs="Times New Roman" w:hAnsi="Times New Roman"/>
          </w:rPr>
          <w:fldChar w:fldCharType="separate"/>
        </w:r>
        <w:r w:rsidRPr="00606BD2">
          <w:rPr>
            <w:rFonts w:ascii="Times New Roman" w:cs="Times New Roman" w:hAnsi="Times New Roman"/>
            <w:lang w:val="zh-CN"/>
          </w:rPr>
          <w:t>2</w:t>
        </w:r>
        <w:r w:rsidRPr="00606BD2">
          <w:rPr>
            <w:rFonts w:ascii="Times New Roman" w:cs="Times New Roman" w:hAnsi="Times New Roman"/>
          </w:rPr>
          <w:fldChar w:fldCharType="end"/>
        </w:r>
      </w:p>
    </w:sdtContent>
  </w:sdt>
</w:ftr>
</file>

<file path=word/footer40.xml><?xml version="1.0" encoding="utf-8"?>
<w:ft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sdt>
    <w:sdtPr>
      <w:id w:val="1815762909"/>
      <w:docPartObj>
        <w:docPartGallery w:val="Page Numbers (Bottom of Page)"/>
        <w:docPartUnique/>
      </w:docPartObj>
    </w:sdtPr>
    <w:sdtEndPr/>
    <w:sdtContent>
      <w:p w14:paraId="48939F1E" w14:textId="0747DC49" w:rsidR="007F0378" w:rsidRDefault="007F0378">
        <w:pPr>
          <w:pStyle w:val="ab"/>
          <w:jc w:val="center"/>
        </w:pPr>
        <w:r>
          <w:fldChar w:fldCharType="begin"/>
        </w:r>
        <w:r>
          <w:instrText>PAGE   \* MERGEFORMAT</w:instrText>
        </w:r>
        <w:r>
          <w:fldChar w:fldCharType="separate"/>
        </w:r>
        <w:r w:rsidR="00083714" w:rsidRPr="00083714">
          <w:rPr>
            <w:noProof/>
            <w:lang w:val="zh-CN"/>
          </w:rPr>
          <w:t>46</w:t>
        </w:r>
        <w:r>
          <w:fldChar w:fldCharType="end"/>
        </w:r>
      </w:p>
    </w:sdtContent>
  </w:sdt>
</w:ftr>
</file>

<file path=word/footnotes.xml><?xml version="1.0" encoding="utf-8"?>
<w:footnotes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footnote w:id="-1" w:type="separator">
    <w:p w14:paraId="614F466A" w14:textId="77777777" w:rsidR="005648B1" w:rsidRDefault="005648B1">
      <w:r>
        <w:separator/>
      </w:r>
    </w:p>
  </w:footnote>
  <w:footnote w:id="0" w:type="continuationSeparator">
    <w:p w14:paraId="62FF0BBD" w14:textId="77777777" w:rsidR="005648B1" w:rsidRDefault="005648B1">
      <w:r>
        <w:continuationSeparator/>
      </w:r>
    </w:p>
  </w:footnote>
</w:footnotes>
</file>

<file path=word/header1.xml><?xml version="1.0" encoding="utf-8"?>
<w:hd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53A2FDFC" w14:textId="5D99C671" w:rsidR="00ED7E69" w:rsidRDefault="005771CA">
    <w:pPr>
      <w:pStyle w:val="ad"/>
      <w:jc w:val="right"/>
    </w:pPr>
    <w:r>
      <w:rPr>
        <w:rFonts w:hint="eastAsia"/>
      </w:rPr>
      <w:t>华夏卓越成长混合型证券投资基金托管协议</w:t>
    </w:r>
  </w:p>
  <w:p w14:paraId="2EF684D0" w14:textId="77777777" w:rsidR="00ED7E69" w:rsidRDefault="00ED7E69">
    <w:pPr>
      <w:rPr>
        <w:u w:val="single"/>
      </w:rPr>
    </w:pPr>
  </w:p>
</w:hdr>
</file>

<file path=word/header2.xml><?xml version="1.0" encoding="utf-8"?>
<w:hdr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p w14:paraId="7806FC03" w14:textId="77777777" w:rsidR="00ED7E69" w:rsidRDefault="00ED7E69">
    <w:pPr>
      <w:rPr>
        <w:u w:val="single"/>
      </w:rPr>
    </w:pPr>
  </w:p>
</w:hdr>
</file>

<file path=word/settings.xml><?xml version="1.0" encoding="utf-8"?>
<w:settings xmlns:m="http://schemas.openxmlformats.org/officeDocument/2006/math" xmlns:mc="http://schemas.openxmlformats.org/markup-compatibility/2006"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mc:Ignorable="w14 w15 w16se">
  <w:zoom w:percent="15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fillcolor="white" spidmax="2050" v:ext="edit">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E69"/>
    <w:rsid w:val="0006688B"/>
    <w:rsid w:val="00083714"/>
    <w:rsid w:val="001C686F"/>
    <w:rsid w:val="00213CF2"/>
    <w:rsid w:val="002A185F"/>
    <w:rsid w:val="0040572D"/>
    <w:rsid w:val="00535E44"/>
    <w:rsid w:val="005648B1"/>
    <w:rsid w:val="005771CA"/>
    <w:rsid w:val="005972BD"/>
    <w:rsid w:val="00606BD2"/>
    <w:rsid w:val="006234DF"/>
    <w:rsid w:val="006F4143"/>
    <w:rsid w:val="00771B7C"/>
    <w:rsid w:val="007F0378"/>
    <w:rsid w:val="00821226"/>
    <w:rsid w:val="00821EB6"/>
    <w:rsid w:val="00883DD1"/>
    <w:rsid w:val="00884544"/>
    <w:rsid w:val="00946FA7"/>
    <w:rsid w:val="00A0339F"/>
    <w:rsid w:val="00A74B20"/>
    <w:rsid w:val="00A95EB8"/>
    <w:rsid w:val="00B27CD3"/>
    <w:rsid w:val="00C53F21"/>
    <w:rsid w:val="00D64E95"/>
    <w:rsid w:val="00E12720"/>
    <w:rsid w:val="00E22153"/>
    <w:rsid w:val="00E53921"/>
    <w:rsid w:val="00E6389A"/>
    <w:rsid w:val="00E84CAA"/>
    <w:rsid w:val="00ED7E69"/>
    <w:rsid w:val="00F0046A"/>
    <w:rsid w:val="00FB7443"/>
  </w:rsids>
  <m:mathPr>
    <m:mathFont m:val="Cambria Math"/>
    <m:brkBin m:val="before"/>
    <m:brkBinSub m:val="--"/>
    <m:smallFrac m:val="0"/>
    <m:dispDef/>
    <m:lMargin m:val="0"/>
    <m:rMargin m:val="0"/>
    <m:defJc m:val="centerGroup"/>
    <m:wrapIndent m:val="1440"/>
    <m:intLim m:val="subSup"/>
    <m:naryLim m:val="undOvr"/>
  </m:mathPr>
  <w:themeFontLang w:eastAsia="zh-CN" w:val="en-US"/>
  <w:clrSchemeMapping w:accent1="accent1" w:accent2="accent2" w:accent3="accent3" w:accent4="accent4" w:accent5="accent5" w:accent6="accent6" w:bg1="light1" w:bg2="light2" w:followedHyperlink="followedHyperlink" w:hyperlink="hyperlink" w:t1="dark1" w:t2="dark2"/>
  <w:doNotIncludeSubdocsInStats/>
  <w:shapeDefaults>
    <o:shapedefaults fillcolor="white" spidmax="2050" v:ext="edit">
      <v:fill color="white"/>
    </o:shapedefaults>
    <o:shapelayout v:ext="edit">
      <o:idmap data="2" v:ext="edit"/>
    </o:shapelayout>
  </w:shapeDefaults>
  <w:decimalSymbol w:val="."/>
  <w:listSeparator w:val=","/>
  <w14:docId w14:val="3671862D"/>
  <w15:docId w15:val="{B3BE1475-394B-4AB0-8C28-86FE49A64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99" w:defUnhideWhenUsed="0">
    <w:lsdException w:name="Normal" w:qFormat="1" w:uiPriority="0"/>
    <w:lsdException w:name="heading 1" w:qFormat="1" w:uiPriority="9"/>
    <w:lsdException w:name="heading 2" w:qFormat="1" w:uiPriority="0"/>
    <w:lsdException w:name="heading 3" w:qFormat="1" w:semiHidden="1" w:uiPriority="9" w:unhideWhenUsed="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qFormat="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uiPriority="0"/>
    <w:lsdException w:name="header" w:qFormat="1" w:unhideWhenUsed="1"/>
    <w:lsdException w:name="footer" w:qFormat="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uiPriority="0"/>
    <w:lsdException w:name="line number" w:semiHidden="1" w:unhideWhenUsed="1"/>
    <w:lsdException w:name="page number" w:qFormat="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uiPriority="10"/>
    <w:lsdException w:name="Closing" w:semiHidden="1" w:unhideWhenUsed="1"/>
    <w:lsdException w:name="Signature" w:semiHidden="1" w:unhideWhenUsed="1"/>
    <w:lsdException w:name="Default Paragraph Font" w:qFormat="1"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uiPriority="0"/>
    <w:lsdException w:name="Body Text Indent 3" w:qFormat="1" w:semiHidden="1" w:unhideWhenUsed="1"/>
    <w:lsdException w:name="Block Text" w:semiHidden="1" w:unhideWhenUsed="1"/>
    <w:lsdException w:name="Hyperlink" w:qFormat="1"/>
    <w:lsdException w:name="FollowedHyperlink" w:semiHidden="1" w:unhideWhenUsed="1"/>
    <w:lsdException w:name="Strong" w:qFormat="1" w:uiPriority="22"/>
    <w:lsdException w:name="Emphasis" w:qFormat="1" w:uiPriority="20"/>
    <w:lsdException w:name="Document Map" w:qFormat="1"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pPr>
      <w:widowControl w:val="0"/>
      <w:jc w:val="both"/>
    </w:pPr>
    <w:rPr>
      <w:kern w:val="2"/>
      <w:sz w:val="21"/>
    </w:rPr>
  </w:style>
  <w:style w:styleId="1" w:type="paragraph">
    <w:name w:val="heading 1"/>
    <w:basedOn w:val="a"/>
    <w:next w:val="a"/>
    <w:link w:val="10"/>
    <w:uiPriority w:val="9"/>
    <w:qFormat/>
    <w:pPr>
      <w:keepNext/>
      <w:keepLines/>
      <w:snapToGrid w:val="0"/>
      <w:spacing w:line="360" w:lineRule="auto"/>
      <w:ind w:firstLine="541"/>
      <w:outlineLvl w:val="0"/>
    </w:pPr>
    <w:rPr>
      <w:rFonts w:ascii="宋体" w:hAnsi="宋体"/>
      <w:b/>
      <w:color w:val="000000"/>
      <w:sz w:val="24"/>
    </w:rPr>
  </w:style>
  <w:style w:styleId="2" w:type="paragraph">
    <w:name w:val="heading 2"/>
    <w:basedOn w:val="a"/>
    <w:next w:val="a"/>
    <w:link w:val="20"/>
    <w:qFormat/>
    <w:pPr>
      <w:keepNext/>
      <w:keepLines/>
      <w:spacing w:after="260" w:before="260" w:line="416" w:lineRule="auto"/>
      <w:outlineLvl w:val="1"/>
    </w:pPr>
    <w:rPr>
      <w:rFonts w:ascii="Arial" w:eastAsia="黑体" w:hAnsi="Arial"/>
      <w:b/>
      <w:bCs/>
      <w:sz w:val="32"/>
      <w:szCs w:val="32"/>
    </w:rPr>
  </w:style>
  <w:style w:default="1" w:styleId="a0" w:type="character">
    <w:name w:val="Default Paragraph Font"/>
    <w:uiPriority w:val="1"/>
    <w:semiHidden/>
    <w:unhideWhenUsed/>
  </w:style>
  <w:style w:default="1" w:styleId="a1" w:type="table">
    <w:name w:val="Normal Table"/>
    <w:uiPriority w:val="99"/>
    <w:semiHidden/>
    <w:unhideWhenUsed/>
    <w:tblPr>
      <w:tblInd w:type="dxa" w:w="0"/>
      <w:tblCellMar>
        <w:top w:type="dxa" w:w="0"/>
        <w:left w:type="dxa" w:w="108"/>
        <w:bottom w:type="dxa" w:w="0"/>
        <w:right w:type="dxa" w:w="108"/>
      </w:tblCellMar>
    </w:tblPr>
  </w:style>
  <w:style w:default="1" w:styleId="a2" w:type="numbering">
    <w:name w:val="No List"/>
    <w:uiPriority w:val="99"/>
    <w:semiHidden/>
    <w:unhideWhenUsed/>
  </w:style>
  <w:style w:styleId="a3" w:type="paragraph">
    <w:name w:val="Document Map"/>
    <w:basedOn w:val="a"/>
    <w:link w:val="a4"/>
    <w:uiPriority w:val="99"/>
    <w:semiHidden/>
    <w:unhideWhenUsed/>
    <w:qFormat/>
    <w:rPr>
      <w:rFonts w:ascii="宋体"/>
      <w:sz w:val="18"/>
      <w:szCs w:val="18"/>
    </w:rPr>
  </w:style>
  <w:style w:styleId="a5" w:type="paragraph">
    <w:name w:val="annotation text"/>
    <w:basedOn w:val="a"/>
    <w:link w:val="a6"/>
    <w:qFormat/>
    <w:pPr>
      <w:jc w:val="left"/>
    </w:pPr>
    <w:rPr>
      <w:rFonts w:asciiTheme="minorHAnsi" w:cstheme="minorBidi" w:eastAsiaTheme="minorEastAsia" w:hAnsiTheme="minorHAnsi"/>
      <w:szCs w:val="22"/>
    </w:rPr>
  </w:style>
  <w:style w:styleId="a7" w:type="paragraph">
    <w:name w:val="Plain Text"/>
    <w:basedOn w:val="a"/>
    <w:link w:val="a8"/>
    <w:uiPriority w:val="99"/>
    <w:qFormat/>
    <w:pPr>
      <w:adjustRightInd w:val="0"/>
      <w:spacing w:line="312" w:lineRule="atLeast"/>
      <w:textAlignment w:val="baseline"/>
    </w:pPr>
    <w:rPr>
      <w:rFonts w:ascii="宋体" w:hAnsi="Courier New"/>
      <w:kern w:val="0"/>
    </w:rPr>
  </w:style>
  <w:style w:styleId="21" w:type="paragraph">
    <w:name w:val="Body Text Indent 2"/>
    <w:basedOn w:val="a"/>
    <w:link w:val="22"/>
    <w:qFormat/>
    <w:pPr>
      <w:spacing w:after="60" w:before="60"/>
      <w:ind w:left="479"/>
    </w:pPr>
    <w:rPr>
      <w:rFonts w:ascii="宋体" w:cstheme="minorBidi" w:eastAsiaTheme="minorEastAsia" w:hAnsiTheme="minorHAnsi"/>
      <w:sz w:val="24"/>
      <w:szCs w:val="22"/>
    </w:rPr>
  </w:style>
  <w:style w:styleId="a9" w:type="paragraph">
    <w:name w:val="Balloon Text"/>
    <w:basedOn w:val="a"/>
    <w:link w:val="aa"/>
    <w:uiPriority w:val="99"/>
    <w:semiHidden/>
    <w:unhideWhenUsed/>
    <w:qFormat/>
    <w:rPr>
      <w:sz w:val="18"/>
      <w:szCs w:val="18"/>
    </w:rPr>
  </w:style>
  <w:style w:styleId="ab" w:type="paragraph">
    <w:name w:val="footer"/>
    <w:basedOn w:val="a"/>
    <w:link w:val="ac"/>
    <w:uiPriority w:val="99"/>
    <w:qFormat/>
    <w:pPr>
      <w:tabs>
        <w:tab w:pos="4153" w:val="center"/>
        <w:tab w:pos="8306" w:val="right"/>
      </w:tabs>
      <w:snapToGrid w:val="0"/>
      <w:jc w:val="left"/>
    </w:pPr>
    <w:rPr>
      <w:rFonts w:asciiTheme="minorHAnsi" w:cstheme="minorBidi" w:eastAsiaTheme="minorEastAsia" w:hAnsiTheme="minorHAnsi"/>
      <w:sz w:val="18"/>
      <w:szCs w:val="18"/>
    </w:rPr>
  </w:style>
  <w:style w:styleId="ad" w:type="paragraph">
    <w:name w:val="header"/>
    <w:basedOn w:val="a"/>
    <w:link w:val="ae"/>
    <w:uiPriority w:val="99"/>
    <w:unhideWhenUsed/>
    <w:qFormat/>
    <w:pPr>
      <w:pBdr>
        <w:bottom w:color="auto" w:space="1" w:sz="6" w:val="single"/>
      </w:pBdr>
      <w:tabs>
        <w:tab w:pos="4153" w:val="center"/>
        <w:tab w:pos="8306" w:val="right"/>
      </w:tabs>
      <w:snapToGrid w:val="0"/>
      <w:jc w:val="center"/>
    </w:pPr>
    <w:rPr>
      <w:sz w:val="18"/>
      <w:szCs w:val="18"/>
    </w:rPr>
  </w:style>
  <w:style w:styleId="11" w:type="paragraph">
    <w:name w:val="toc 1"/>
    <w:basedOn w:val="a"/>
    <w:next w:val="a"/>
    <w:uiPriority w:val="39"/>
    <w:unhideWhenUsed/>
    <w:qFormat/>
    <w:pPr>
      <w:tabs>
        <w:tab w:leader="hyphen" w:pos="8296" w:val="right"/>
      </w:tabs>
      <w:spacing w:line="360" w:lineRule="auto"/>
    </w:pPr>
    <w:rPr>
      <w:sz w:val="24"/>
      <w:szCs w:val="24"/>
    </w:rPr>
  </w:style>
  <w:style w:styleId="3" w:type="paragraph">
    <w:name w:val="Body Text Indent 3"/>
    <w:basedOn w:val="a"/>
    <w:link w:val="30"/>
    <w:uiPriority w:val="99"/>
    <w:semiHidden/>
    <w:unhideWhenUsed/>
    <w:qFormat/>
    <w:pPr>
      <w:spacing w:after="120"/>
      <w:ind w:left="420" w:leftChars="200"/>
    </w:pPr>
    <w:rPr>
      <w:sz w:val="16"/>
      <w:szCs w:val="16"/>
    </w:rPr>
  </w:style>
  <w:style w:styleId="af" w:type="paragraph">
    <w:name w:val="Normal (Web)"/>
    <w:basedOn w:val="a"/>
    <w:qFormat/>
    <w:pPr>
      <w:widowControl/>
      <w:spacing w:after="100" w:afterAutospacing="1" w:before="100" w:beforeAutospacing="1"/>
      <w:jc w:val="left"/>
    </w:pPr>
    <w:rPr>
      <w:rFonts w:ascii="Arial Unicode MS" w:cs="Arial Unicode MS" w:eastAsia="Arial Unicode MS" w:hAnsi="Arial Unicode MS"/>
      <w:kern w:val="0"/>
      <w:sz w:val="24"/>
      <w:szCs w:val="24"/>
    </w:rPr>
  </w:style>
  <w:style w:styleId="af0" w:type="paragraph">
    <w:name w:val="annotation subject"/>
    <w:basedOn w:val="a5"/>
    <w:next w:val="a5"/>
    <w:link w:val="af1"/>
    <w:uiPriority w:val="99"/>
    <w:semiHidden/>
    <w:unhideWhenUsed/>
    <w:rPr>
      <w:rFonts w:ascii="Times New Roman" w:cs="Times New Roman" w:eastAsia="宋体" w:hAnsi="Times New Roman"/>
      <w:b/>
      <w:bCs/>
      <w:szCs w:val="20"/>
    </w:rPr>
  </w:style>
  <w:style w:styleId="af2" w:type="character">
    <w:name w:val="page number"/>
    <w:basedOn w:val="a0"/>
    <w:qFormat/>
  </w:style>
  <w:style w:styleId="af3" w:type="character">
    <w:name w:val="Hyperlink"/>
    <w:uiPriority w:val="99"/>
    <w:qFormat/>
    <w:rPr>
      <w:color w:val="0000FF"/>
      <w:u w:val="single"/>
    </w:rPr>
  </w:style>
  <w:style w:styleId="af4" w:type="character">
    <w:name w:val="annotation reference"/>
    <w:qFormat/>
    <w:rPr>
      <w:sz w:val="21"/>
      <w:szCs w:val="21"/>
    </w:rPr>
  </w:style>
  <w:style w:customStyle="1" w:styleId="10" w:type="character">
    <w:name w:val="标题 1 字符"/>
    <w:basedOn w:val="a0"/>
    <w:link w:val="1"/>
    <w:uiPriority w:val="9"/>
    <w:qFormat/>
    <w:rPr>
      <w:rFonts w:ascii="宋体" w:cs="Times New Roman" w:eastAsia="宋体" w:hAnsi="宋体"/>
      <w:b/>
      <w:color w:val="000000"/>
      <w:sz w:val="24"/>
      <w:szCs w:val="20"/>
    </w:rPr>
  </w:style>
  <w:style w:customStyle="1" w:styleId="20" w:type="character">
    <w:name w:val="标题 2 字符"/>
    <w:basedOn w:val="a0"/>
    <w:link w:val="2"/>
    <w:qFormat/>
    <w:rPr>
      <w:rFonts w:ascii="Arial" w:cs="Times New Roman" w:eastAsia="黑体" w:hAnsi="Arial"/>
      <w:b/>
      <w:bCs/>
      <w:sz w:val="32"/>
      <w:szCs w:val="32"/>
    </w:rPr>
  </w:style>
  <w:style w:customStyle="1" w:styleId="a6" w:type="character">
    <w:name w:val="批注文字 字符"/>
    <w:link w:val="a5"/>
    <w:uiPriority w:val="99"/>
    <w:qFormat/>
  </w:style>
  <w:style w:customStyle="1" w:styleId="ac" w:type="character">
    <w:name w:val="页脚 字符"/>
    <w:link w:val="ab"/>
    <w:uiPriority w:val="99"/>
    <w:qFormat/>
    <w:rPr>
      <w:sz w:val="18"/>
      <w:szCs w:val="18"/>
    </w:rPr>
  </w:style>
  <w:style w:customStyle="1" w:styleId="22" w:type="character">
    <w:name w:val="正文文本缩进 2 字符"/>
    <w:link w:val="21"/>
    <w:qFormat/>
    <w:rPr>
      <w:rFonts w:ascii="宋体"/>
      <w:sz w:val="24"/>
    </w:rPr>
  </w:style>
  <w:style w:customStyle="1" w:styleId="Char1" w:type="character">
    <w:name w:val="页脚 Char1"/>
    <w:basedOn w:val="a0"/>
    <w:uiPriority w:val="99"/>
    <w:semiHidden/>
    <w:qFormat/>
    <w:rPr>
      <w:rFonts w:ascii="Times New Roman" w:cs="Times New Roman" w:eastAsia="宋体" w:hAnsi="Times New Roman"/>
      <w:sz w:val="18"/>
      <w:szCs w:val="18"/>
    </w:rPr>
  </w:style>
  <w:style w:customStyle="1" w:styleId="Char10" w:type="character">
    <w:name w:val="批注文字 Char1"/>
    <w:basedOn w:val="a0"/>
    <w:uiPriority w:val="99"/>
    <w:semiHidden/>
    <w:qFormat/>
    <w:rPr>
      <w:rFonts w:ascii="Times New Roman" w:cs="Times New Roman" w:eastAsia="宋体" w:hAnsi="Times New Roman"/>
      <w:szCs w:val="20"/>
    </w:rPr>
  </w:style>
  <w:style w:customStyle="1" w:styleId="2Char1" w:type="character">
    <w:name w:val="正文文本缩进 2 Char1"/>
    <w:basedOn w:val="a0"/>
    <w:uiPriority w:val="99"/>
    <w:semiHidden/>
    <w:qFormat/>
    <w:rPr>
      <w:rFonts w:ascii="Times New Roman" w:cs="Times New Roman" w:eastAsia="宋体" w:hAnsi="Times New Roman"/>
      <w:szCs w:val="20"/>
    </w:rPr>
  </w:style>
  <w:style w:customStyle="1" w:styleId="aa" w:type="character">
    <w:name w:val="批注框文本 字符"/>
    <w:basedOn w:val="a0"/>
    <w:link w:val="a9"/>
    <w:uiPriority w:val="99"/>
    <w:semiHidden/>
    <w:qFormat/>
    <w:rPr>
      <w:rFonts w:ascii="Times New Roman" w:cs="Times New Roman" w:eastAsia="宋体" w:hAnsi="Times New Roman"/>
      <w:sz w:val="18"/>
      <w:szCs w:val="18"/>
    </w:rPr>
  </w:style>
  <w:style w:customStyle="1" w:styleId="ae" w:type="character">
    <w:name w:val="页眉 字符"/>
    <w:basedOn w:val="a0"/>
    <w:link w:val="ad"/>
    <w:uiPriority w:val="99"/>
    <w:qFormat/>
    <w:rPr>
      <w:rFonts w:ascii="Times New Roman" w:cs="Times New Roman" w:eastAsia="宋体" w:hAnsi="Times New Roman"/>
      <w:sz w:val="18"/>
      <w:szCs w:val="18"/>
    </w:rPr>
  </w:style>
  <w:style w:customStyle="1" w:styleId="af1" w:type="character">
    <w:name w:val="批注主题 字符"/>
    <w:basedOn w:val="a6"/>
    <w:link w:val="af0"/>
    <w:uiPriority w:val="99"/>
    <w:semiHidden/>
    <w:qFormat/>
    <w:rPr>
      <w:rFonts w:ascii="Times New Roman" w:cs="Times New Roman" w:eastAsia="宋体" w:hAnsi="Times New Roman"/>
      <w:b/>
      <w:bCs/>
      <w:szCs w:val="20"/>
    </w:rPr>
  </w:style>
  <w:style w:customStyle="1" w:styleId="a4" w:type="character">
    <w:name w:val="文档结构图 字符"/>
    <w:basedOn w:val="a0"/>
    <w:link w:val="a3"/>
    <w:uiPriority w:val="99"/>
    <w:semiHidden/>
    <w:qFormat/>
    <w:rPr>
      <w:rFonts w:ascii="宋体" w:cs="Times New Roman" w:eastAsia="宋体" w:hAnsi="Times New Roman"/>
      <w:sz w:val="18"/>
      <w:szCs w:val="18"/>
    </w:rPr>
  </w:style>
  <w:style w:customStyle="1" w:styleId="a8" w:type="character">
    <w:name w:val="纯文本 字符"/>
    <w:basedOn w:val="a0"/>
    <w:link w:val="a7"/>
    <w:uiPriority w:val="99"/>
    <w:qFormat/>
    <w:rPr>
      <w:rFonts w:ascii="宋体" w:cs="Times New Roman" w:eastAsia="宋体" w:hAnsi="Courier New"/>
      <w:kern w:val="0"/>
      <w:szCs w:val="20"/>
    </w:rPr>
  </w:style>
  <w:style w:customStyle="1" w:styleId="30" w:type="character">
    <w:name w:val="正文文本缩进 3 字符"/>
    <w:basedOn w:val="a0"/>
    <w:link w:val="3"/>
    <w:uiPriority w:val="99"/>
    <w:semiHidden/>
    <w:qFormat/>
    <w:rPr>
      <w:rFonts w:ascii="Times New Roman" w:cs="Times New Roman" w:eastAsia="宋体" w:hAnsi="Times New Roman"/>
      <w:sz w:val="16"/>
      <w:szCs w:val="16"/>
    </w:rPr>
  </w:style>
  <w:style w:customStyle="1" w:styleId="12" w:type="paragraph">
    <w:name w:val="修订1"/>
    <w:hidden/>
    <w:uiPriority w:val="99"/>
    <w:semiHidden/>
    <w:qFormat/>
    <w:rPr>
      <w:kern w:val="2"/>
      <w:sz w:val="21"/>
    </w:rPr>
  </w:style>
  <w:style w:customStyle="1" w:styleId="23" w:type="paragraph">
    <w:name w:val="修订2"/>
    <w:hidden/>
    <w:uiPriority w:val="99"/>
    <w:semiHidden/>
    <w:qFormat/>
    <w:rPr>
      <w:kern w:val="2"/>
      <w:sz w:val="21"/>
    </w:rPr>
  </w:style>
  <w:style w:customStyle="1" w:styleId="31" w:type="paragraph">
    <w:name w:val="修订3"/>
    <w:hidden/>
    <w:uiPriority w:val="99"/>
    <w:semiHidden/>
    <w:qFormat/>
    <w:rPr>
      <w:kern w:val="2"/>
      <w:sz w:val="21"/>
    </w:rPr>
  </w:style>
  <w:style w:customStyle="1" w:styleId="4" w:type="paragraph">
    <w:name w:val="修订4"/>
    <w:hidden/>
    <w:uiPriority w:val="99"/>
    <w:semiHidden/>
    <w:qFormat/>
    <w:rPr>
      <w:kern w:val="2"/>
      <w:sz w:val="21"/>
    </w:rPr>
  </w:style>
  <w:style w:customStyle="1" w:styleId="13" w:type="character">
    <w:name w:val="批注文字 字符1"/>
    <w:uiPriority w:val="99"/>
    <w:qFormat/>
    <w:rPr>
      <w:kern w:val="2"/>
      <w:sz w:val="21"/>
    </w:rPr>
  </w:style>
  <w:style w:styleId="af5" w:type="paragraph">
    <w:name w:val="Revision"/>
    <w:hidden/>
    <w:uiPriority w:val="99"/>
    <w:semiHidden/>
    <w:rPr>
      <w:kern w:val="2"/>
      <w:sz w:val="21"/>
    </w:rPr>
  </w:style>
  <w:style w:styleId="af6" w:type="paragraph">
    <w:name w:val="Body Text"/>
    <w:basedOn w:val="a"/>
    <w:link w:val="af7"/>
    <w:uiPriority w:val="99"/>
    <w:semiHidden/>
    <w:unhideWhenUsed/>
    <w:pPr>
      <w:spacing w:after="120"/>
    </w:pPr>
  </w:style>
  <w:style w:customStyle="1" w:styleId="af7" w:type="character">
    <w:name w:val="正文文本 字符"/>
    <w:basedOn w:val="a0"/>
    <w:link w:val="af6"/>
    <w:uiPriority w:val="99"/>
    <w:semiHidden/>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no"?>
<Relationships xmlns="http://schemas.openxmlformats.org/package/2006/relationships">
<Relationship Id="rId1" Target="../customXml/item1.xml" Type="http://schemas.openxmlformats.org/officeDocument/2006/relationships/customXml"/>
<Relationship Id="rId10" Target="footer3.xml" Type="http://schemas.openxmlformats.org/officeDocument/2006/relationships/footer"/>
<Relationship Id="rId11" Target="footer4.xml" Type="http://schemas.openxmlformats.org/officeDocument/2006/relationships/footer"/>
<Relationship Id="rId12" Target="footer5.xml" Type="http://schemas.openxmlformats.org/officeDocument/2006/relationships/footer"/>
<Relationship Id="rId13" Target="footer6.xml" Type="http://schemas.openxmlformats.org/officeDocument/2006/relationships/footer"/>
<Relationship Id="rId14" Target="footer7.xml" Type="http://schemas.openxmlformats.org/officeDocument/2006/relationships/footer"/>
<Relationship Id="rId15" Target="footer8.xml" Type="http://schemas.openxmlformats.org/officeDocument/2006/relationships/footer"/>
<Relationship Id="rId16" Target="footer9.xml" Type="http://schemas.openxmlformats.org/officeDocument/2006/relationships/footer"/>
<Relationship Id="rId17" Target="footer10.xml" Type="http://schemas.openxmlformats.org/officeDocument/2006/relationships/footer"/>
<Relationship Id="rId18" Target="footer11.xml" Type="http://schemas.openxmlformats.org/officeDocument/2006/relationships/footer"/>
<Relationship Id="rId19" Target="footer12.xml" Type="http://schemas.openxmlformats.org/officeDocument/2006/relationships/footer"/>
<Relationship Id="rId2" Target="styles.xml" Type="http://schemas.openxmlformats.org/officeDocument/2006/relationships/styles"/>
<Relationship Id="rId20" Target="footer13.xml" Type="http://schemas.openxmlformats.org/officeDocument/2006/relationships/footer"/>
<Relationship Id="rId21" Target="footer14.xml" Type="http://schemas.openxmlformats.org/officeDocument/2006/relationships/footer"/>
<Relationship Id="rId22" Target="footer15.xml" Type="http://schemas.openxmlformats.org/officeDocument/2006/relationships/footer"/>
<Relationship Id="rId23" Target="footer16.xml" Type="http://schemas.openxmlformats.org/officeDocument/2006/relationships/footer"/>
<Relationship Id="rId24" Target="footer17.xml" Type="http://schemas.openxmlformats.org/officeDocument/2006/relationships/footer"/>
<Relationship Id="rId25" Target="footer18.xml" Type="http://schemas.openxmlformats.org/officeDocument/2006/relationships/footer"/>
<Relationship Id="rId26" Target="footer19.xml" Type="http://schemas.openxmlformats.org/officeDocument/2006/relationships/footer"/>
<Relationship Id="rId27" Target="footer20.xml" Type="http://schemas.openxmlformats.org/officeDocument/2006/relationships/footer"/>
<Relationship Id="rId28" Target="footer21.xml" Type="http://schemas.openxmlformats.org/officeDocument/2006/relationships/footer"/>
<Relationship Id="rId29" Target="footer22.xml" Type="http://schemas.openxmlformats.org/officeDocument/2006/relationships/footer"/>
<Relationship Id="rId3" Target="settings.xml" Type="http://schemas.openxmlformats.org/officeDocument/2006/relationships/settings"/>
<Relationship Id="rId30" Target="footer23.xml" Type="http://schemas.openxmlformats.org/officeDocument/2006/relationships/footer"/>
<Relationship Id="rId31" Target="footer24.xml" Type="http://schemas.openxmlformats.org/officeDocument/2006/relationships/footer"/>
<Relationship Id="rId32" Target="footer25.xml" Type="http://schemas.openxmlformats.org/officeDocument/2006/relationships/footer"/>
<Relationship Id="rId33" Target="footer26.xml" Type="http://schemas.openxmlformats.org/officeDocument/2006/relationships/footer"/>
<Relationship Id="rId34" Target="footer27.xml" Type="http://schemas.openxmlformats.org/officeDocument/2006/relationships/footer"/>
<Relationship Id="rId35" Target="footer28.xml" Type="http://schemas.openxmlformats.org/officeDocument/2006/relationships/footer"/>
<Relationship Id="rId36" Target="footer29.xml" Type="http://schemas.openxmlformats.org/officeDocument/2006/relationships/footer"/>
<Relationship Id="rId37" Target="footer30.xml" Type="http://schemas.openxmlformats.org/officeDocument/2006/relationships/footer"/>
<Relationship Id="rId38" Target="footer31.xml" Type="http://schemas.openxmlformats.org/officeDocument/2006/relationships/footer"/>
<Relationship Id="rId39" Target="footer32.xml" Type="http://schemas.openxmlformats.org/officeDocument/2006/relationships/footer"/>
<Relationship Id="rId4" Target="webSettings.xml" Type="http://schemas.openxmlformats.org/officeDocument/2006/relationships/webSettings"/>
<Relationship Id="rId40" Target="footer33.xml" Type="http://schemas.openxmlformats.org/officeDocument/2006/relationships/footer"/>
<Relationship Id="rId41" Target="footer34.xml" Type="http://schemas.openxmlformats.org/officeDocument/2006/relationships/footer"/>
<Relationship Id="rId42" Target="footer35.xml" Type="http://schemas.openxmlformats.org/officeDocument/2006/relationships/footer"/>
<Relationship Id="rId43" Target="footer36.xml" Type="http://schemas.openxmlformats.org/officeDocument/2006/relationships/footer"/>
<Relationship Id="rId44" Target="footer37.xml" Type="http://schemas.openxmlformats.org/officeDocument/2006/relationships/footer"/>
<Relationship Id="rId45" Target="footer38.xml" Type="http://schemas.openxmlformats.org/officeDocument/2006/relationships/footer"/>
<Relationship Id="rId46" Target="footer39.xml" Type="http://schemas.openxmlformats.org/officeDocument/2006/relationships/footer"/>
<Relationship Id="rId47" Target="header2.xml" Type="http://schemas.openxmlformats.org/officeDocument/2006/relationships/header"/>
<Relationship Id="rId48" Target="footer40.xml" Type="http://schemas.openxmlformats.org/officeDocument/2006/relationships/footer"/>
<Relationship Id="rId49" Target="fontTable.xml" Type="http://schemas.openxmlformats.org/officeDocument/2006/relationships/fontTable"/>
<Relationship Id="rId5" Target="footnotes.xml" Type="http://schemas.openxmlformats.org/officeDocument/2006/relationships/footnotes"/>
<Relationship Id="rId50" Target="theme/theme1.xml" Type="http://schemas.openxmlformats.org/officeDocument/2006/relationships/theme"/>
<Relationship Id="rId6" Target="endnotes.xml" Type="http://schemas.openxmlformats.org/officeDocument/2006/relationships/endnotes"/>
<Relationship Id="rId7" Target="header1.xml" Type="http://schemas.openxmlformats.org/officeDocument/2006/relationships/header"/>
<Relationship Id="rId8" Target="footer1.xml" Type="http://schemas.openxmlformats.org/officeDocument/2006/relationships/footer"/>
<Relationship Id="rId9" Target="footer2.xml" Type="http://schemas.openxmlformats.org/officeDocument/2006/relationships/footer"/>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
<Relationships xmlns="http://schemas.openxmlformats.org/package/2006/relationships">
<Relationship Id="rId1" Target="itemProps1.xml" Type="http://schemas.openxmlformats.org/officeDocument/2006/relationships/customXmlProps"/>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4695</Words>
  <Characters>26768</Characters>
  <Application>Microsoft Office Word</Application>
  <DocSecurity>0</DocSecurity>
  <Lines>223</Lines>
  <Paragraphs>62</Paragraphs>
  <ScaleCrop>false</ScaleCrop>
  <Company>Lenovo</Company>
  <LinksUpToDate>false</LinksUpToDate>
  <CharactersWithSpaces>31401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2025-05-16T08:13:00Z</dcterms:created>
  <cp:lastPrinted>2017-03-29T07:09:00Z</cp:lastPrinted>
  <dcterms:modified xsi:type="dcterms:W3CDTF">2025-08-01T05:32:00Z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name="KSOProductBuildVer" pid="2">
    <vt:lpwstr>2052-11.8.2.10393</vt:lpwstr>
  </property>
</Properties>
</file>