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3C4E5" w14:textId="77777777" w:rsidR="00950499" w:rsidRPr="009D3B11" w:rsidRDefault="00950499">
      <w:pPr>
        <w:spacing w:line="520" w:lineRule="exact"/>
        <w:jc w:val="right"/>
        <w:rPr>
          <w:rFonts w:ascii="宋体" w:hAnsi="宋体"/>
          <w:color w:val="000000" w:themeColor="text1"/>
          <w:sz w:val="28"/>
          <w:szCs w:val="28"/>
          <w14:shadow w14:blurRad="50800" w14:dist="38100" w14:dir="2700000" w14:sx="100000" w14:sy="100000" w14:kx="0" w14:ky="0" w14:algn="tl">
            <w14:srgbClr w14:val="000000">
              <w14:alpha w14:val="60000"/>
            </w14:srgbClr>
          </w14:shadow>
        </w:rPr>
      </w:pPr>
    </w:p>
    <w:p w14:paraId="38C55956" w14:textId="77777777" w:rsidR="00950499" w:rsidRPr="009D3B11" w:rsidRDefault="00950499">
      <w:pPr>
        <w:spacing w:line="520" w:lineRule="exact"/>
        <w:jc w:val="center"/>
        <w:rPr>
          <w:rFonts w:ascii="宋体" w:hAnsi="宋体"/>
          <w:color w:val="000000" w:themeColor="text1"/>
          <w:sz w:val="28"/>
          <w:szCs w:val="28"/>
          <w14:shadow w14:blurRad="50800" w14:dist="38100" w14:dir="2700000" w14:sx="100000" w14:sy="100000" w14:kx="0" w14:ky="0" w14:algn="tl">
            <w14:srgbClr w14:val="000000">
              <w14:alpha w14:val="60000"/>
            </w14:srgbClr>
          </w14:shadow>
        </w:rPr>
      </w:pPr>
    </w:p>
    <w:p w14:paraId="06011169" w14:textId="77777777" w:rsidR="00950499" w:rsidRPr="009D3B11" w:rsidRDefault="00950499">
      <w:pPr>
        <w:spacing w:line="520" w:lineRule="exact"/>
        <w:jc w:val="center"/>
        <w:rPr>
          <w:rFonts w:ascii="宋体" w:hAnsi="宋体"/>
          <w:color w:val="000000" w:themeColor="text1"/>
          <w:sz w:val="28"/>
          <w:szCs w:val="28"/>
          <w14:shadow w14:blurRad="50800" w14:dist="38100" w14:dir="2700000" w14:sx="100000" w14:sy="100000" w14:kx="0" w14:ky="0" w14:algn="tl">
            <w14:srgbClr w14:val="000000">
              <w14:alpha w14:val="60000"/>
            </w14:srgbClr>
          </w14:shadow>
        </w:rPr>
      </w:pPr>
    </w:p>
    <w:p w14:paraId="7205A276" w14:textId="77777777" w:rsidR="00950499" w:rsidRPr="009D3B11" w:rsidRDefault="00950499">
      <w:pPr>
        <w:spacing w:line="520" w:lineRule="exact"/>
        <w:jc w:val="center"/>
        <w:rPr>
          <w:rFonts w:ascii="宋体" w:hAnsi="宋体"/>
          <w:color w:val="000000" w:themeColor="text1"/>
          <w:sz w:val="28"/>
          <w:szCs w:val="28"/>
          <w14:shadow w14:blurRad="50800" w14:dist="38100" w14:dir="2700000" w14:sx="100000" w14:sy="100000" w14:kx="0" w14:ky="0" w14:algn="tl">
            <w14:srgbClr w14:val="000000">
              <w14:alpha w14:val="60000"/>
            </w14:srgbClr>
          </w14:shadow>
        </w:rPr>
      </w:pPr>
    </w:p>
    <w:p w14:paraId="5D368758" w14:textId="77777777" w:rsidR="00950499" w:rsidRPr="009D3B11" w:rsidRDefault="00950499">
      <w:pPr>
        <w:spacing w:line="520" w:lineRule="exact"/>
        <w:jc w:val="center"/>
        <w:rPr>
          <w:rFonts w:ascii="宋体" w:hAnsi="宋体"/>
          <w:color w:val="000000" w:themeColor="text1"/>
          <w:sz w:val="28"/>
          <w:szCs w:val="28"/>
          <w14:shadow w14:blurRad="50800" w14:dist="38100" w14:dir="2700000" w14:sx="100000" w14:sy="100000" w14:kx="0" w14:ky="0" w14:algn="tl">
            <w14:srgbClr w14:val="000000">
              <w14:alpha w14:val="60000"/>
            </w14:srgbClr>
          </w14:shadow>
        </w:rPr>
      </w:pPr>
    </w:p>
    <w:p w14:paraId="0FF32C30" w14:textId="77777777" w:rsidR="00950499" w:rsidRPr="009D3B11" w:rsidRDefault="00950499">
      <w:pPr>
        <w:spacing w:line="520" w:lineRule="exact"/>
        <w:jc w:val="center"/>
        <w:rPr>
          <w:rFonts w:ascii="宋体" w:hAnsi="宋体"/>
          <w:color w:val="000000" w:themeColor="text1"/>
          <w:sz w:val="28"/>
          <w:szCs w:val="28"/>
          <w14:shadow w14:blurRad="50800" w14:dist="38100" w14:dir="2700000" w14:sx="100000" w14:sy="100000" w14:kx="0" w14:ky="0" w14:algn="tl">
            <w14:srgbClr w14:val="000000">
              <w14:alpha w14:val="60000"/>
            </w14:srgbClr>
          </w14:shadow>
        </w:rPr>
      </w:pPr>
    </w:p>
    <w:p w14:paraId="7EF2F285" w14:textId="45E2334C" w:rsidR="002155A2" w:rsidRDefault="00670326">
      <w:pPr>
        <w:spacing w:line="360" w:lineRule="auto"/>
        <w:jc w:val="center"/>
        <w:rPr>
          <w:rFonts w:ascii="宋体" w:hAnsi="宋体"/>
          <w:b/>
          <w:color w:val="000000" w:themeColor="text1"/>
          <w:sz w:val="40"/>
        </w:rPr>
      </w:pPr>
      <w:r>
        <w:rPr>
          <w:rFonts w:ascii="宋体" w:hAnsi="宋体" w:hint="eastAsia"/>
          <w:b/>
          <w:color w:val="000000" w:themeColor="text1"/>
          <w:sz w:val="40"/>
        </w:rPr>
        <w:t>华夏信选混合型证券投资基金</w:t>
      </w:r>
    </w:p>
    <w:p w14:paraId="494EC44A" w14:textId="166EA4C3" w:rsidR="00950499" w:rsidRDefault="005541ED">
      <w:pPr>
        <w:spacing w:line="360" w:lineRule="auto"/>
        <w:jc w:val="center"/>
        <w:rPr>
          <w:rFonts w:ascii="宋体" w:hAnsi="宋体"/>
          <w:b/>
          <w:color w:val="000000" w:themeColor="text1"/>
          <w:sz w:val="40"/>
        </w:rPr>
      </w:pPr>
      <w:r w:rsidRPr="002155A2">
        <w:rPr>
          <w:rFonts w:ascii="宋体" w:hAnsi="宋体" w:hint="eastAsia"/>
          <w:b/>
          <w:color w:val="000000" w:themeColor="text1"/>
          <w:sz w:val="40"/>
        </w:rPr>
        <w:t>托管协议</w:t>
      </w:r>
    </w:p>
    <w:p w14:paraId="2DB39C7D" w14:textId="58A5664F" w:rsidR="00670326" w:rsidRPr="002155A2" w:rsidRDefault="00670326">
      <w:pPr>
        <w:spacing w:line="360" w:lineRule="auto"/>
        <w:jc w:val="center"/>
        <w:rPr>
          <w:rFonts w:ascii="宋体" w:hAnsi="宋体"/>
          <w:b/>
          <w:color w:val="000000" w:themeColor="text1"/>
          <w:sz w:val="40"/>
        </w:rPr>
      </w:pPr>
    </w:p>
    <w:p w14:paraId="6DCD1AFB" w14:textId="77777777" w:rsidR="00950499" w:rsidRPr="007C0F18" w:rsidRDefault="00950499">
      <w:pPr>
        <w:pStyle w:val="20"/>
        <w:spacing w:line="520" w:lineRule="exact"/>
        <w:ind w:firstLine="560"/>
        <w:rPr>
          <w:rFonts w:hAnsi="宋体"/>
          <w:color w:val="000000" w:themeColor="text1"/>
          <w:sz w:val="28"/>
          <w:szCs w:val="28"/>
        </w:rPr>
      </w:pPr>
    </w:p>
    <w:p w14:paraId="7090EFB0" w14:textId="77777777" w:rsidR="00950499" w:rsidRPr="007C0F18" w:rsidRDefault="00950499">
      <w:pPr>
        <w:pStyle w:val="20"/>
        <w:spacing w:line="520" w:lineRule="exact"/>
        <w:ind w:firstLine="560"/>
        <w:rPr>
          <w:rFonts w:hAnsi="宋体"/>
          <w:color w:val="000000" w:themeColor="text1"/>
          <w:sz w:val="28"/>
          <w:szCs w:val="28"/>
        </w:rPr>
      </w:pPr>
    </w:p>
    <w:p w14:paraId="03483158" w14:textId="77777777" w:rsidR="00950499" w:rsidRPr="007C0F18" w:rsidRDefault="00950499">
      <w:pPr>
        <w:pStyle w:val="20"/>
        <w:spacing w:line="520" w:lineRule="exact"/>
        <w:ind w:firstLine="560"/>
        <w:rPr>
          <w:rFonts w:hAnsi="宋体"/>
          <w:color w:val="000000" w:themeColor="text1"/>
          <w:sz w:val="28"/>
          <w:szCs w:val="28"/>
        </w:rPr>
      </w:pPr>
    </w:p>
    <w:p w14:paraId="0399C0EF" w14:textId="77777777" w:rsidR="004D40A2" w:rsidRPr="007C0F18" w:rsidRDefault="004D40A2">
      <w:pPr>
        <w:pStyle w:val="20"/>
        <w:spacing w:line="520" w:lineRule="exact"/>
        <w:ind w:firstLine="560"/>
        <w:rPr>
          <w:rFonts w:hAnsi="宋体"/>
          <w:color w:val="000000" w:themeColor="text1"/>
          <w:sz w:val="28"/>
          <w:szCs w:val="28"/>
        </w:rPr>
      </w:pPr>
    </w:p>
    <w:p w14:paraId="3C8B3AA3" w14:textId="77777777" w:rsidR="00950499" w:rsidRPr="007C0F18" w:rsidRDefault="00950499">
      <w:pPr>
        <w:pStyle w:val="20"/>
        <w:spacing w:line="520" w:lineRule="exact"/>
        <w:ind w:firstLine="560"/>
        <w:rPr>
          <w:rFonts w:hAnsi="宋体"/>
          <w:color w:val="000000" w:themeColor="text1"/>
          <w:sz w:val="28"/>
          <w:szCs w:val="28"/>
        </w:rPr>
      </w:pPr>
    </w:p>
    <w:p w14:paraId="44555752" w14:textId="77777777" w:rsidR="007C0F18" w:rsidRPr="007C0F18" w:rsidRDefault="007C0F18">
      <w:pPr>
        <w:pStyle w:val="20"/>
        <w:spacing w:line="520" w:lineRule="exact"/>
        <w:ind w:firstLine="560"/>
        <w:rPr>
          <w:rFonts w:hAnsi="宋体"/>
          <w:color w:val="000000" w:themeColor="text1"/>
          <w:sz w:val="28"/>
          <w:szCs w:val="28"/>
        </w:rPr>
      </w:pPr>
    </w:p>
    <w:p w14:paraId="1903C6B9" w14:textId="77777777" w:rsidR="007C0F18" w:rsidRPr="007C0F18" w:rsidRDefault="007C0F18">
      <w:pPr>
        <w:pStyle w:val="20"/>
        <w:spacing w:line="520" w:lineRule="exact"/>
        <w:ind w:firstLine="560"/>
        <w:rPr>
          <w:rFonts w:hAnsi="宋体"/>
          <w:color w:val="000000" w:themeColor="text1"/>
          <w:sz w:val="28"/>
          <w:szCs w:val="28"/>
        </w:rPr>
      </w:pPr>
    </w:p>
    <w:p w14:paraId="40EB6A31" w14:textId="77777777" w:rsidR="00950499" w:rsidRPr="007C0F18" w:rsidRDefault="005541ED">
      <w:pPr>
        <w:spacing w:line="360" w:lineRule="auto"/>
        <w:jc w:val="center"/>
        <w:rPr>
          <w:rFonts w:ascii="宋体" w:hAnsi="宋体"/>
          <w:b/>
          <w:color w:val="000000" w:themeColor="text1"/>
          <w:sz w:val="36"/>
        </w:rPr>
      </w:pPr>
      <w:bookmarkStart w:id="0" w:name="_Toc139992301"/>
      <w:bookmarkStart w:id="1" w:name="_Toc123112263"/>
      <w:bookmarkStart w:id="2" w:name="_Toc123701383"/>
      <w:bookmarkStart w:id="3" w:name="_Toc139991726"/>
      <w:bookmarkStart w:id="4" w:name="_Toc123112224"/>
      <w:r w:rsidRPr="007C0F18">
        <w:rPr>
          <w:rFonts w:ascii="宋体" w:hAnsi="宋体"/>
          <w:b/>
          <w:color w:val="000000" w:themeColor="text1"/>
          <w:sz w:val="36"/>
        </w:rPr>
        <w:t>基金管理人：</w:t>
      </w:r>
      <w:bookmarkEnd w:id="0"/>
      <w:bookmarkEnd w:id="1"/>
      <w:bookmarkEnd w:id="2"/>
      <w:bookmarkEnd w:id="3"/>
      <w:bookmarkEnd w:id="4"/>
      <w:r w:rsidR="004D40A2" w:rsidRPr="007C0F18">
        <w:rPr>
          <w:rFonts w:ascii="宋体" w:hAnsi="宋体" w:hint="eastAsia"/>
          <w:b/>
          <w:color w:val="000000" w:themeColor="text1"/>
          <w:sz w:val="36"/>
        </w:rPr>
        <w:t>华夏基金管理有限公司</w:t>
      </w:r>
      <w:r w:rsidRPr="007C0F18">
        <w:rPr>
          <w:rFonts w:ascii="宋体" w:hAnsi="宋体" w:hint="eastAsia"/>
          <w:b/>
          <w:color w:val="000000" w:themeColor="text1"/>
          <w:sz w:val="36"/>
        </w:rPr>
        <w:t xml:space="preserve"> </w:t>
      </w:r>
    </w:p>
    <w:p w14:paraId="2255C27A" w14:textId="77777777" w:rsidR="00950499" w:rsidRPr="007C0F18" w:rsidRDefault="005541ED">
      <w:pPr>
        <w:spacing w:line="360" w:lineRule="auto"/>
        <w:jc w:val="center"/>
        <w:rPr>
          <w:rFonts w:ascii="宋体" w:hAnsi="宋体"/>
          <w:b/>
          <w:color w:val="000000" w:themeColor="text1"/>
          <w:sz w:val="36"/>
        </w:rPr>
      </w:pPr>
      <w:bookmarkStart w:id="5" w:name="_Toc139992302"/>
      <w:bookmarkStart w:id="6" w:name="_Toc139991727"/>
      <w:bookmarkStart w:id="7" w:name="_Toc123112264"/>
      <w:bookmarkStart w:id="8" w:name="_Toc123112225"/>
      <w:bookmarkStart w:id="9" w:name="_Toc123701384"/>
      <w:r w:rsidRPr="007C0F18">
        <w:rPr>
          <w:rFonts w:ascii="宋体" w:hAnsi="宋体"/>
          <w:b/>
          <w:color w:val="000000" w:themeColor="text1"/>
          <w:sz w:val="36"/>
        </w:rPr>
        <w:t>基金托管人：</w:t>
      </w:r>
      <w:r w:rsidRPr="007C0F18">
        <w:rPr>
          <w:rFonts w:ascii="宋体" w:hAnsi="宋体" w:hint="eastAsia"/>
          <w:b/>
          <w:color w:val="000000" w:themeColor="text1"/>
          <w:sz w:val="36"/>
        </w:rPr>
        <w:t>中信银行股份有限公司</w:t>
      </w:r>
      <w:bookmarkEnd w:id="5"/>
      <w:bookmarkEnd w:id="6"/>
      <w:bookmarkEnd w:id="7"/>
      <w:bookmarkEnd w:id="8"/>
      <w:bookmarkEnd w:id="9"/>
    </w:p>
    <w:p w14:paraId="4F1292A5" w14:textId="77777777" w:rsidR="00950499" w:rsidRPr="007C0F18" w:rsidRDefault="00950499">
      <w:pPr>
        <w:spacing w:line="360" w:lineRule="auto"/>
        <w:jc w:val="center"/>
        <w:rPr>
          <w:rFonts w:ascii="宋体" w:hAnsi="宋体"/>
          <w:b/>
          <w:color w:val="000000" w:themeColor="text1"/>
          <w:sz w:val="44"/>
          <w:szCs w:val="44"/>
        </w:rPr>
      </w:pPr>
    </w:p>
    <w:p w14:paraId="169092FE" w14:textId="77777777" w:rsidR="00950499" w:rsidRPr="007C0F18" w:rsidRDefault="00950499">
      <w:pPr>
        <w:spacing w:line="360" w:lineRule="auto"/>
        <w:rPr>
          <w:rFonts w:ascii="宋体" w:hAnsi="宋体"/>
          <w:b/>
          <w:color w:val="000000" w:themeColor="text1"/>
          <w:szCs w:val="28"/>
        </w:rPr>
      </w:pPr>
    </w:p>
    <w:p w14:paraId="4363E5F3" w14:textId="77777777" w:rsidR="00950499" w:rsidRPr="007C0F18" w:rsidRDefault="00950499">
      <w:pPr>
        <w:spacing w:line="360" w:lineRule="auto"/>
        <w:ind w:firstLineChars="200" w:firstLine="562"/>
        <w:jc w:val="center"/>
        <w:rPr>
          <w:rFonts w:ascii="宋体" w:hAnsi="宋体"/>
          <w:b/>
          <w:bCs/>
          <w:color w:val="000000" w:themeColor="text1"/>
          <w:sz w:val="28"/>
          <w:szCs w:val="28"/>
        </w:rPr>
      </w:pPr>
    </w:p>
    <w:p w14:paraId="6A7986A6" w14:textId="77777777" w:rsidR="00950499" w:rsidRPr="007C0F18" w:rsidRDefault="00950499">
      <w:pPr>
        <w:spacing w:line="360" w:lineRule="auto"/>
        <w:ind w:firstLineChars="200" w:firstLine="562"/>
        <w:jc w:val="center"/>
        <w:rPr>
          <w:rFonts w:ascii="宋体" w:hAnsi="宋体"/>
          <w:b/>
          <w:bCs/>
          <w:color w:val="000000" w:themeColor="text1"/>
          <w:sz w:val="28"/>
          <w:szCs w:val="28"/>
        </w:rPr>
      </w:pPr>
    </w:p>
    <w:p w14:paraId="532F734F" w14:textId="77777777" w:rsidR="00950499" w:rsidRPr="007C0F18" w:rsidRDefault="00950499">
      <w:pPr>
        <w:spacing w:line="360" w:lineRule="auto"/>
        <w:rPr>
          <w:rFonts w:ascii="宋体" w:hAnsi="宋体"/>
          <w:b/>
          <w:bCs/>
          <w:color w:val="000000" w:themeColor="text1"/>
          <w:sz w:val="28"/>
          <w:szCs w:val="28"/>
        </w:rPr>
      </w:pPr>
    </w:p>
    <w:p w14:paraId="5E6771D8" w14:textId="77777777" w:rsidR="00950499" w:rsidRPr="007C0F18" w:rsidRDefault="005541ED">
      <w:pPr>
        <w:spacing w:line="360" w:lineRule="auto"/>
        <w:ind w:firstLineChars="200" w:firstLine="562"/>
        <w:jc w:val="center"/>
        <w:rPr>
          <w:rFonts w:ascii="宋体" w:hAnsi="宋体"/>
          <w:b/>
          <w:bCs/>
          <w:color w:val="000000" w:themeColor="text1"/>
          <w:sz w:val="28"/>
          <w:szCs w:val="28"/>
        </w:rPr>
      </w:pPr>
      <w:r w:rsidRPr="007C0F18">
        <w:rPr>
          <w:rFonts w:ascii="宋体" w:hAnsi="宋体" w:hint="eastAsia"/>
          <w:b/>
          <w:bCs/>
          <w:color w:val="000000" w:themeColor="text1"/>
          <w:sz w:val="28"/>
          <w:szCs w:val="28"/>
        </w:rPr>
        <w:br w:type="page"/>
      </w:r>
    </w:p>
    <w:p w14:paraId="072071AD" w14:textId="77777777" w:rsidR="00950499" w:rsidRPr="003A2857" w:rsidRDefault="005541ED">
      <w:pPr>
        <w:spacing w:line="360" w:lineRule="auto"/>
        <w:jc w:val="center"/>
        <w:rPr>
          <w:rFonts w:ascii="宋体" w:hAnsi="宋体"/>
          <w:b/>
          <w:bCs/>
          <w:color w:val="000000" w:themeColor="text1"/>
          <w:szCs w:val="21"/>
        </w:rPr>
      </w:pPr>
      <w:r w:rsidRPr="003A2857">
        <w:rPr>
          <w:rFonts w:ascii="宋体" w:hAnsi="宋体" w:hint="eastAsia"/>
          <w:b/>
          <w:bCs/>
          <w:color w:val="000000" w:themeColor="text1"/>
          <w:szCs w:val="21"/>
        </w:rPr>
        <w:lastRenderedPageBreak/>
        <w:t>目</w:t>
      </w:r>
      <w:r w:rsidR="00537A67">
        <w:rPr>
          <w:rFonts w:ascii="宋体" w:hAnsi="宋体" w:hint="eastAsia"/>
          <w:b/>
          <w:bCs/>
          <w:color w:val="000000" w:themeColor="text1"/>
          <w:szCs w:val="21"/>
        </w:rPr>
        <w:t xml:space="preserve">  </w:t>
      </w:r>
      <w:r w:rsidRPr="003A2857">
        <w:rPr>
          <w:rFonts w:ascii="宋体" w:hAnsi="宋体" w:hint="eastAsia"/>
          <w:b/>
          <w:bCs/>
          <w:color w:val="000000" w:themeColor="text1"/>
          <w:szCs w:val="21"/>
        </w:rPr>
        <w:t>录</w:t>
      </w:r>
    </w:p>
    <w:p w14:paraId="02B5A370" w14:textId="77777777" w:rsidR="00950499" w:rsidRPr="003A2857" w:rsidRDefault="00950499" w:rsidP="00FB2E71">
      <w:pPr>
        <w:spacing w:line="360" w:lineRule="auto"/>
        <w:ind w:firstLineChars="200" w:firstLine="422"/>
        <w:jc w:val="center"/>
        <w:rPr>
          <w:rFonts w:ascii="宋体" w:hAnsi="宋体"/>
          <w:b/>
          <w:bCs/>
          <w:color w:val="000000" w:themeColor="text1"/>
          <w:szCs w:val="21"/>
        </w:rPr>
      </w:pPr>
    </w:p>
    <w:p w14:paraId="453622F2" w14:textId="08F47776" w:rsidR="007750ED" w:rsidRDefault="00166BE9">
      <w:pPr>
        <w:pStyle w:val="TOC1"/>
        <w:rPr>
          <w:rFonts w:asciiTheme="minorHAnsi" w:eastAsiaTheme="minorEastAsia" w:hAnsiTheme="minorHAnsi" w:cstheme="minorBidi"/>
          <w:noProof/>
          <w:sz w:val="21"/>
          <w:szCs w:val="22"/>
        </w:rPr>
      </w:pPr>
      <w:r w:rsidRPr="003A2857">
        <w:rPr>
          <w:b/>
          <w:color w:val="000000" w:themeColor="text1"/>
          <w:sz w:val="21"/>
          <w:szCs w:val="21"/>
        </w:rPr>
        <w:fldChar w:fldCharType="begin"/>
      </w:r>
      <w:r w:rsidR="005541ED" w:rsidRPr="003A2857">
        <w:rPr>
          <w:b/>
          <w:color w:val="000000" w:themeColor="text1"/>
          <w:sz w:val="21"/>
          <w:szCs w:val="21"/>
        </w:rPr>
        <w:instrText xml:space="preserve"> </w:instrText>
      </w:r>
      <w:r w:rsidR="005541ED" w:rsidRPr="003A2857">
        <w:rPr>
          <w:rFonts w:hint="eastAsia"/>
          <w:b/>
          <w:color w:val="000000" w:themeColor="text1"/>
          <w:sz w:val="21"/>
          <w:szCs w:val="21"/>
        </w:rPr>
        <w:instrText>TOC \o "1-1" \h \z \u</w:instrText>
      </w:r>
      <w:r w:rsidR="005541ED" w:rsidRPr="003A2857">
        <w:rPr>
          <w:b/>
          <w:color w:val="000000" w:themeColor="text1"/>
          <w:sz w:val="21"/>
          <w:szCs w:val="21"/>
        </w:rPr>
        <w:instrText xml:space="preserve"> </w:instrText>
      </w:r>
      <w:r w:rsidRPr="003A2857">
        <w:rPr>
          <w:b/>
          <w:color w:val="000000" w:themeColor="text1"/>
          <w:sz w:val="21"/>
          <w:szCs w:val="21"/>
        </w:rPr>
        <w:fldChar w:fldCharType="separate"/>
      </w:r>
      <w:hyperlink w:anchor="_Toc200545733" w:history="1">
        <w:r w:rsidR="007750ED" w:rsidRPr="00A05C7E">
          <w:rPr>
            <w:rStyle w:val="af5"/>
            <w:bCs/>
            <w:noProof/>
          </w:rPr>
          <w:t>第一条 本协议当事人</w:t>
        </w:r>
        <w:r w:rsidR="007750ED">
          <w:rPr>
            <w:noProof/>
            <w:webHidden/>
          </w:rPr>
          <w:tab/>
        </w:r>
        <w:r w:rsidR="007750ED">
          <w:rPr>
            <w:noProof/>
            <w:webHidden/>
          </w:rPr>
          <w:fldChar w:fldCharType="begin"/>
        </w:r>
        <w:r w:rsidR="007750ED">
          <w:rPr>
            <w:noProof/>
            <w:webHidden/>
          </w:rPr>
          <w:instrText xml:space="preserve"> PAGEREF _Toc200545733 \h </w:instrText>
        </w:r>
        <w:r w:rsidR="007750ED">
          <w:rPr>
            <w:noProof/>
            <w:webHidden/>
          </w:rPr>
        </w:r>
        <w:r w:rsidR="007750ED">
          <w:rPr>
            <w:noProof/>
            <w:webHidden/>
          </w:rPr>
          <w:fldChar w:fldCharType="separate"/>
        </w:r>
        <w:r w:rsidR="007750ED">
          <w:rPr>
            <w:noProof/>
            <w:webHidden/>
          </w:rPr>
          <w:t>3</w:t>
        </w:r>
        <w:r w:rsidR="007750ED">
          <w:rPr>
            <w:noProof/>
            <w:webHidden/>
          </w:rPr>
          <w:fldChar w:fldCharType="end"/>
        </w:r>
      </w:hyperlink>
    </w:p>
    <w:p w14:paraId="48E7859D" w14:textId="41FFA889" w:rsidR="007750ED" w:rsidRDefault="00F50124">
      <w:pPr>
        <w:pStyle w:val="TOC1"/>
        <w:rPr>
          <w:rFonts w:asciiTheme="minorHAnsi" w:eastAsiaTheme="minorEastAsia" w:hAnsiTheme="minorHAnsi" w:cstheme="minorBidi"/>
          <w:noProof/>
          <w:sz w:val="21"/>
          <w:szCs w:val="22"/>
        </w:rPr>
      </w:pPr>
      <w:hyperlink w:anchor="_Toc200545734" w:history="1">
        <w:r w:rsidR="007750ED" w:rsidRPr="00A05C7E">
          <w:rPr>
            <w:rStyle w:val="af5"/>
            <w:bCs/>
            <w:noProof/>
          </w:rPr>
          <w:t>第二条 本协议的依据、目的和原则</w:t>
        </w:r>
        <w:r w:rsidR="007750ED">
          <w:rPr>
            <w:noProof/>
            <w:webHidden/>
          </w:rPr>
          <w:tab/>
        </w:r>
        <w:r w:rsidR="007750ED">
          <w:rPr>
            <w:noProof/>
            <w:webHidden/>
          </w:rPr>
          <w:fldChar w:fldCharType="begin"/>
        </w:r>
        <w:r w:rsidR="007750ED">
          <w:rPr>
            <w:noProof/>
            <w:webHidden/>
          </w:rPr>
          <w:instrText xml:space="preserve"> PAGEREF _Toc200545734 \h </w:instrText>
        </w:r>
        <w:r w:rsidR="007750ED">
          <w:rPr>
            <w:noProof/>
            <w:webHidden/>
          </w:rPr>
        </w:r>
        <w:r w:rsidR="007750ED">
          <w:rPr>
            <w:noProof/>
            <w:webHidden/>
          </w:rPr>
          <w:fldChar w:fldCharType="separate"/>
        </w:r>
        <w:r w:rsidR="007750ED">
          <w:rPr>
            <w:noProof/>
            <w:webHidden/>
          </w:rPr>
          <w:t>3</w:t>
        </w:r>
        <w:r w:rsidR="007750ED">
          <w:rPr>
            <w:noProof/>
            <w:webHidden/>
          </w:rPr>
          <w:fldChar w:fldCharType="end"/>
        </w:r>
      </w:hyperlink>
    </w:p>
    <w:p w14:paraId="74FDC0DB" w14:textId="20CFBF20" w:rsidR="007750ED" w:rsidRDefault="00F50124">
      <w:pPr>
        <w:pStyle w:val="TOC1"/>
        <w:rPr>
          <w:rFonts w:asciiTheme="minorHAnsi" w:eastAsiaTheme="minorEastAsia" w:hAnsiTheme="minorHAnsi" w:cstheme="minorBidi"/>
          <w:noProof/>
          <w:sz w:val="21"/>
          <w:szCs w:val="22"/>
        </w:rPr>
      </w:pPr>
      <w:hyperlink w:anchor="_Toc200545735" w:history="1">
        <w:r w:rsidR="007750ED" w:rsidRPr="00A05C7E">
          <w:rPr>
            <w:rStyle w:val="af5"/>
            <w:bCs/>
            <w:noProof/>
          </w:rPr>
          <w:t>第三条 基金托管人对基金管理人的业务监督和核查</w:t>
        </w:r>
        <w:r w:rsidR="007750ED">
          <w:rPr>
            <w:noProof/>
            <w:webHidden/>
          </w:rPr>
          <w:tab/>
        </w:r>
        <w:r w:rsidR="007750ED">
          <w:rPr>
            <w:noProof/>
            <w:webHidden/>
          </w:rPr>
          <w:fldChar w:fldCharType="begin"/>
        </w:r>
        <w:r w:rsidR="007750ED">
          <w:rPr>
            <w:noProof/>
            <w:webHidden/>
          </w:rPr>
          <w:instrText xml:space="preserve"> PAGEREF _Toc200545735 \h </w:instrText>
        </w:r>
        <w:r w:rsidR="007750ED">
          <w:rPr>
            <w:noProof/>
            <w:webHidden/>
          </w:rPr>
        </w:r>
        <w:r w:rsidR="007750ED">
          <w:rPr>
            <w:noProof/>
            <w:webHidden/>
          </w:rPr>
          <w:fldChar w:fldCharType="separate"/>
        </w:r>
        <w:r w:rsidR="007750ED">
          <w:rPr>
            <w:noProof/>
            <w:webHidden/>
          </w:rPr>
          <w:t>4</w:t>
        </w:r>
        <w:r w:rsidR="007750ED">
          <w:rPr>
            <w:noProof/>
            <w:webHidden/>
          </w:rPr>
          <w:fldChar w:fldCharType="end"/>
        </w:r>
      </w:hyperlink>
    </w:p>
    <w:p w14:paraId="45DC962F" w14:textId="6AA57614" w:rsidR="007750ED" w:rsidRDefault="00F50124">
      <w:pPr>
        <w:pStyle w:val="TOC1"/>
        <w:rPr>
          <w:rFonts w:asciiTheme="minorHAnsi" w:eastAsiaTheme="minorEastAsia" w:hAnsiTheme="minorHAnsi" w:cstheme="minorBidi"/>
          <w:noProof/>
          <w:sz w:val="21"/>
          <w:szCs w:val="22"/>
        </w:rPr>
      </w:pPr>
      <w:hyperlink w:anchor="_Toc200545736" w:history="1">
        <w:r w:rsidR="007750ED" w:rsidRPr="00A05C7E">
          <w:rPr>
            <w:rStyle w:val="af5"/>
            <w:bCs/>
            <w:noProof/>
          </w:rPr>
          <w:t>第四条 基金管理人对基金托管人的业务核查</w:t>
        </w:r>
        <w:r w:rsidR="007750ED">
          <w:rPr>
            <w:noProof/>
            <w:webHidden/>
          </w:rPr>
          <w:tab/>
        </w:r>
        <w:r w:rsidR="007750ED">
          <w:rPr>
            <w:noProof/>
            <w:webHidden/>
          </w:rPr>
          <w:fldChar w:fldCharType="begin"/>
        </w:r>
        <w:r w:rsidR="007750ED">
          <w:rPr>
            <w:noProof/>
            <w:webHidden/>
          </w:rPr>
          <w:instrText xml:space="preserve"> PAGEREF _Toc200545736 \h </w:instrText>
        </w:r>
        <w:r w:rsidR="007750ED">
          <w:rPr>
            <w:noProof/>
            <w:webHidden/>
          </w:rPr>
        </w:r>
        <w:r w:rsidR="007750ED">
          <w:rPr>
            <w:noProof/>
            <w:webHidden/>
          </w:rPr>
          <w:fldChar w:fldCharType="separate"/>
        </w:r>
        <w:r w:rsidR="007750ED">
          <w:rPr>
            <w:noProof/>
            <w:webHidden/>
          </w:rPr>
          <w:t>13</w:t>
        </w:r>
        <w:r w:rsidR="007750ED">
          <w:rPr>
            <w:noProof/>
            <w:webHidden/>
          </w:rPr>
          <w:fldChar w:fldCharType="end"/>
        </w:r>
      </w:hyperlink>
    </w:p>
    <w:p w14:paraId="3A7A5008" w14:textId="0EAB86F4" w:rsidR="007750ED" w:rsidRDefault="00F50124">
      <w:pPr>
        <w:pStyle w:val="TOC1"/>
        <w:rPr>
          <w:rFonts w:asciiTheme="minorHAnsi" w:eastAsiaTheme="minorEastAsia" w:hAnsiTheme="minorHAnsi" w:cstheme="minorBidi"/>
          <w:noProof/>
          <w:sz w:val="21"/>
          <w:szCs w:val="22"/>
        </w:rPr>
      </w:pPr>
      <w:hyperlink w:anchor="_Toc200545737" w:history="1">
        <w:r w:rsidR="007750ED" w:rsidRPr="00A05C7E">
          <w:rPr>
            <w:rStyle w:val="af5"/>
            <w:bCs/>
            <w:noProof/>
          </w:rPr>
          <w:t>第五条 基金财产保管</w:t>
        </w:r>
        <w:r w:rsidR="007750ED">
          <w:rPr>
            <w:noProof/>
            <w:webHidden/>
          </w:rPr>
          <w:tab/>
        </w:r>
        <w:r w:rsidR="007750ED">
          <w:rPr>
            <w:noProof/>
            <w:webHidden/>
          </w:rPr>
          <w:fldChar w:fldCharType="begin"/>
        </w:r>
        <w:r w:rsidR="007750ED">
          <w:rPr>
            <w:noProof/>
            <w:webHidden/>
          </w:rPr>
          <w:instrText xml:space="preserve"> PAGEREF _Toc200545737 \h </w:instrText>
        </w:r>
        <w:r w:rsidR="007750ED">
          <w:rPr>
            <w:noProof/>
            <w:webHidden/>
          </w:rPr>
        </w:r>
        <w:r w:rsidR="007750ED">
          <w:rPr>
            <w:noProof/>
            <w:webHidden/>
          </w:rPr>
          <w:fldChar w:fldCharType="separate"/>
        </w:r>
        <w:r w:rsidR="007750ED">
          <w:rPr>
            <w:noProof/>
            <w:webHidden/>
          </w:rPr>
          <w:t>14</w:t>
        </w:r>
        <w:r w:rsidR="007750ED">
          <w:rPr>
            <w:noProof/>
            <w:webHidden/>
          </w:rPr>
          <w:fldChar w:fldCharType="end"/>
        </w:r>
      </w:hyperlink>
    </w:p>
    <w:p w14:paraId="015D1D46" w14:textId="0604F1AE" w:rsidR="007750ED" w:rsidRDefault="00F50124">
      <w:pPr>
        <w:pStyle w:val="TOC1"/>
        <w:rPr>
          <w:rFonts w:asciiTheme="minorHAnsi" w:eastAsiaTheme="minorEastAsia" w:hAnsiTheme="minorHAnsi" w:cstheme="minorBidi"/>
          <w:noProof/>
          <w:sz w:val="21"/>
          <w:szCs w:val="22"/>
        </w:rPr>
      </w:pPr>
      <w:hyperlink w:anchor="_Toc200545738" w:history="1">
        <w:r w:rsidR="007750ED" w:rsidRPr="00A05C7E">
          <w:rPr>
            <w:rStyle w:val="af5"/>
            <w:bCs/>
            <w:noProof/>
          </w:rPr>
          <w:t>第六条 指令的发送、确认和执行</w:t>
        </w:r>
        <w:r w:rsidR="007750ED">
          <w:rPr>
            <w:noProof/>
            <w:webHidden/>
          </w:rPr>
          <w:tab/>
        </w:r>
        <w:r w:rsidR="007750ED">
          <w:rPr>
            <w:noProof/>
            <w:webHidden/>
          </w:rPr>
          <w:fldChar w:fldCharType="begin"/>
        </w:r>
        <w:r w:rsidR="007750ED">
          <w:rPr>
            <w:noProof/>
            <w:webHidden/>
          </w:rPr>
          <w:instrText xml:space="preserve"> PAGEREF _Toc200545738 \h </w:instrText>
        </w:r>
        <w:r w:rsidR="007750ED">
          <w:rPr>
            <w:noProof/>
            <w:webHidden/>
          </w:rPr>
        </w:r>
        <w:r w:rsidR="007750ED">
          <w:rPr>
            <w:noProof/>
            <w:webHidden/>
          </w:rPr>
          <w:fldChar w:fldCharType="separate"/>
        </w:r>
        <w:r w:rsidR="007750ED">
          <w:rPr>
            <w:noProof/>
            <w:webHidden/>
          </w:rPr>
          <w:t>16</w:t>
        </w:r>
        <w:r w:rsidR="007750ED">
          <w:rPr>
            <w:noProof/>
            <w:webHidden/>
          </w:rPr>
          <w:fldChar w:fldCharType="end"/>
        </w:r>
      </w:hyperlink>
    </w:p>
    <w:p w14:paraId="6C38BC27" w14:textId="671C0128" w:rsidR="007750ED" w:rsidRDefault="00F50124">
      <w:pPr>
        <w:pStyle w:val="TOC1"/>
        <w:rPr>
          <w:rFonts w:asciiTheme="minorHAnsi" w:eastAsiaTheme="minorEastAsia" w:hAnsiTheme="minorHAnsi" w:cstheme="minorBidi"/>
          <w:noProof/>
          <w:sz w:val="21"/>
          <w:szCs w:val="22"/>
        </w:rPr>
      </w:pPr>
      <w:hyperlink w:anchor="_Toc200545739" w:history="1">
        <w:r w:rsidR="007750ED" w:rsidRPr="00A05C7E">
          <w:rPr>
            <w:rStyle w:val="af5"/>
            <w:bCs/>
            <w:noProof/>
          </w:rPr>
          <w:t>第七条 交易及清算交收安排</w:t>
        </w:r>
        <w:r w:rsidR="007750ED">
          <w:rPr>
            <w:noProof/>
            <w:webHidden/>
          </w:rPr>
          <w:tab/>
        </w:r>
        <w:r w:rsidR="007750ED">
          <w:rPr>
            <w:noProof/>
            <w:webHidden/>
          </w:rPr>
          <w:fldChar w:fldCharType="begin"/>
        </w:r>
        <w:r w:rsidR="007750ED">
          <w:rPr>
            <w:noProof/>
            <w:webHidden/>
          </w:rPr>
          <w:instrText xml:space="preserve"> PAGEREF _Toc200545739 \h </w:instrText>
        </w:r>
        <w:r w:rsidR="007750ED">
          <w:rPr>
            <w:noProof/>
            <w:webHidden/>
          </w:rPr>
        </w:r>
        <w:r w:rsidR="007750ED">
          <w:rPr>
            <w:noProof/>
            <w:webHidden/>
          </w:rPr>
          <w:fldChar w:fldCharType="separate"/>
        </w:r>
        <w:r w:rsidR="007750ED">
          <w:rPr>
            <w:noProof/>
            <w:webHidden/>
          </w:rPr>
          <w:t>20</w:t>
        </w:r>
        <w:r w:rsidR="007750ED">
          <w:rPr>
            <w:noProof/>
            <w:webHidden/>
          </w:rPr>
          <w:fldChar w:fldCharType="end"/>
        </w:r>
      </w:hyperlink>
    </w:p>
    <w:p w14:paraId="57970713" w14:textId="643985E6" w:rsidR="007750ED" w:rsidRDefault="00F50124">
      <w:pPr>
        <w:pStyle w:val="TOC1"/>
        <w:rPr>
          <w:rFonts w:asciiTheme="minorHAnsi" w:eastAsiaTheme="minorEastAsia" w:hAnsiTheme="minorHAnsi" w:cstheme="minorBidi"/>
          <w:noProof/>
          <w:sz w:val="21"/>
          <w:szCs w:val="22"/>
        </w:rPr>
      </w:pPr>
      <w:hyperlink w:anchor="_Toc200545740" w:history="1">
        <w:r w:rsidR="007750ED" w:rsidRPr="00A05C7E">
          <w:rPr>
            <w:rStyle w:val="af5"/>
            <w:bCs/>
            <w:noProof/>
          </w:rPr>
          <w:t>第八条 基金净值计算和会计核算</w:t>
        </w:r>
        <w:r w:rsidR="007750ED">
          <w:rPr>
            <w:noProof/>
            <w:webHidden/>
          </w:rPr>
          <w:tab/>
        </w:r>
        <w:r w:rsidR="007750ED">
          <w:rPr>
            <w:noProof/>
            <w:webHidden/>
          </w:rPr>
          <w:fldChar w:fldCharType="begin"/>
        </w:r>
        <w:r w:rsidR="007750ED">
          <w:rPr>
            <w:noProof/>
            <w:webHidden/>
          </w:rPr>
          <w:instrText xml:space="preserve"> PAGEREF _Toc200545740 \h </w:instrText>
        </w:r>
        <w:r w:rsidR="007750ED">
          <w:rPr>
            <w:noProof/>
            <w:webHidden/>
          </w:rPr>
        </w:r>
        <w:r w:rsidR="007750ED">
          <w:rPr>
            <w:noProof/>
            <w:webHidden/>
          </w:rPr>
          <w:fldChar w:fldCharType="separate"/>
        </w:r>
        <w:r w:rsidR="007750ED">
          <w:rPr>
            <w:noProof/>
            <w:webHidden/>
          </w:rPr>
          <w:t>22</w:t>
        </w:r>
        <w:r w:rsidR="007750ED">
          <w:rPr>
            <w:noProof/>
            <w:webHidden/>
          </w:rPr>
          <w:fldChar w:fldCharType="end"/>
        </w:r>
      </w:hyperlink>
    </w:p>
    <w:p w14:paraId="57F7404A" w14:textId="5195D241" w:rsidR="007750ED" w:rsidRDefault="00F50124">
      <w:pPr>
        <w:pStyle w:val="TOC1"/>
        <w:rPr>
          <w:rFonts w:asciiTheme="minorHAnsi" w:eastAsiaTheme="minorEastAsia" w:hAnsiTheme="minorHAnsi" w:cstheme="minorBidi"/>
          <w:noProof/>
          <w:sz w:val="21"/>
          <w:szCs w:val="22"/>
        </w:rPr>
      </w:pPr>
      <w:hyperlink w:anchor="_Toc200545741" w:history="1">
        <w:r w:rsidR="007750ED" w:rsidRPr="00A05C7E">
          <w:rPr>
            <w:rStyle w:val="af5"/>
            <w:bCs/>
            <w:noProof/>
          </w:rPr>
          <w:t>第九条 基金收益分配</w:t>
        </w:r>
        <w:r w:rsidR="007750ED">
          <w:rPr>
            <w:noProof/>
            <w:webHidden/>
          </w:rPr>
          <w:tab/>
        </w:r>
        <w:r w:rsidR="007750ED">
          <w:rPr>
            <w:noProof/>
            <w:webHidden/>
          </w:rPr>
          <w:fldChar w:fldCharType="begin"/>
        </w:r>
        <w:r w:rsidR="007750ED">
          <w:rPr>
            <w:noProof/>
            <w:webHidden/>
          </w:rPr>
          <w:instrText xml:space="preserve"> PAGEREF _Toc200545741 \h </w:instrText>
        </w:r>
        <w:r w:rsidR="007750ED">
          <w:rPr>
            <w:noProof/>
            <w:webHidden/>
          </w:rPr>
        </w:r>
        <w:r w:rsidR="007750ED">
          <w:rPr>
            <w:noProof/>
            <w:webHidden/>
          </w:rPr>
          <w:fldChar w:fldCharType="separate"/>
        </w:r>
        <w:r w:rsidR="007750ED">
          <w:rPr>
            <w:noProof/>
            <w:webHidden/>
          </w:rPr>
          <w:t>29</w:t>
        </w:r>
        <w:r w:rsidR="007750ED">
          <w:rPr>
            <w:noProof/>
            <w:webHidden/>
          </w:rPr>
          <w:fldChar w:fldCharType="end"/>
        </w:r>
      </w:hyperlink>
    </w:p>
    <w:p w14:paraId="436A2F4C" w14:textId="3F9AF74D" w:rsidR="007750ED" w:rsidRDefault="00F50124">
      <w:pPr>
        <w:pStyle w:val="TOC1"/>
        <w:rPr>
          <w:rFonts w:asciiTheme="minorHAnsi" w:eastAsiaTheme="minorEastAsia" w:hAnsiTheme="minorHAnsi" w:cstheme="minorBidi"/>
          <w:noProof/>
          <w:sz w:val="21"/>
          <w:szCs w:val="22"/>
        </w:rPr>
      </w:pPr>
      <w:hyperlink w:anchor="_Toc200545742" w:history="1">
        <w:r w:rsidR="007750ED" w:rsidRPr="00A05C7E">
          <w:rPr>
            <w:rStyle w:val="af5"/>
            <w:bCs/>
            <w:noProof/>
          </w:rPr>
          <w:t>第十一条 基金费用</w:t>
        </w:r>
        <w:r w:rsidR="007750ED">
          <w:rPr>
            <w:noProof/>
            <w:webHidden/>
          </w:rPr>
          <w:tab/>
        </w:r>
        <w:r w:rsidR="007750ED">
          <w:rPr>
            <w:noProof/>
            <w:webHidden/>
          </w:rPr>
          <w:fldChar w:fldCharType="begin"/>
        </w:r>
        <w:r w:rsidR="007750ED">
          <w:rPr>
            <w:noProof/>
            <w:webHidden/>
          </w:rPr>
          <w:instrText xml:space="preserve"> PAGEREF _Toc200545742 \h </w:instrText>
        </w:r>
        <w:r w:rsidR="007750ED">
          <w:rPr>
            <w:noProof/>
            <w:webHidden/>
          </w:rPr>
        </w:r>
        <w:r w:rsidR="007750ED">
          <w:rPr>
            <w:noProof/>
            <w:webHidden/>
          </w:rPr>
          <w:fldChar w:fldCharType="separate"/>
        </w:r>
        <w:r w:rsidR="007750ED">
          <w:rPr>
            <w:noProof/>
            <w:webHidden/>
          </w:rPr>
          <w:t>32</w:t>
        </w:r>
        <w:r w:rsidR="007750ED">
          <w:rPr>
            <w:noProof/>
            <w:webHidden/>
          </w:rPr>
          <w:fldChar w:fldCharType="end"/>
        </w:r>
      </w:hyperlink>
    </w:p>
    <w:p w14:paraId="5BA55D56" w14:textId="1B93E44C" w:rsidR="007750ED" w:rsidRDefault="00F50124">
      <w:pPr>
        <w:pStyle w:val="TOC1"/>
        <w:rPr>
          <w:rFonts w:asciiTheme="minorHAnsi" w:eastAsiaTheme="minorEastAsia" w:hAnsiTheme="minorHAnsi" w:cstheme="minorBidi"/>
          <w:noProof/>
          <w:sz w:val="21"/>
          <w:szCs w:val="22"/>
        </w:rPr>
      </w:pPr>
      <w:hyperlink w:anchor="_Toc200545743" w:history="1">
        <w:r w:rsidR="007750ED" w:rsidRPr="00A05C7E">
          <w:rPr>
            <w:rStyle w:val="af5"/>
            <w:bCs/>
            <w:noProof/>
          </w:rPr>
          <w:t>第十二条 基金份额持有人名册的保管</w:t>
        </w:r>
        <w:r w:rsidR="007750ED">
          <w:rPr>
            <w:noProof/>
            <w:webHidden/>
          </w:rPr>
          <w:tab/>
        </w:r>
        <w:r w:rsidR="007750ED">
          <w:rPr>
            <w:noProof/>
            <w:webHidden/>
          </w:rPr>
          <w:fldChar w:fldCharType="begin"/>
        </w:r>
        <w:r w:rsidR="007750ED">
          <w:rPr>
            <w:noProof/>
            <w:webHidden/>
          </w:rPr>
          <w:instrText xml:space="preserve"> PAGEREF _Toc200545743 \h </w:instrText>
        </w:r>
        <w:r w:rsidR="007750ED">
          <w:rPr>
            <w:noProof/>
            <w:webHidden/>
          </w:rPr>
        </w:r>
        <w:r w:rsidR="007750ED">
          <w:rPr>
            <w:noProof/>
            <w:webHidden/>
          </w:rPr>
          <w:fldChar w:fldCharType="separate"/>
        </w:r>
        <w:r w:rsidR="007750ED">
          <w:rPr>
            <w:noProof/>
            <w:webHidden/>
          </w:rPr>
          <w:t>34</w:t>
        </w:r>
        <w:r w:rsidR="007750ED">
          <w:rPr>
            <w:noProof/>
            <w:webHidden/>
          </w:rPr>
          <w:fldChar w:fldCharType="end"/>
        </w:r>
      </w:hyperlink>
    </w:p>
    <w:p w14:paraId="71FA8734" w14:textId="2D08F8AA" w:rsidR="007750ED" w:rsidRDefault="00F50124">
      <w:pPr>
        <w:pStyle w:val="TOC1"/>
        <w:rPr>
          <w:rFonts w:asciiTheme="minorHAnsi" w:eastAsiaTheme="minorEastAsia" w:hAnsiTheme="minorHAnsi" w:cstheme="minorBidi"/>
          <w:noProof/>
          <w:sz w:val="21"/>
          <w:szCs w:val="22"/>
        </w:rPr>
      </w:pPr>
      <w:hyperlink w:anchor="_Toc200545744" w:history="1">
        <w:r w:rsidR="007750ED" w:rsidRPr="00A05C7E">
          <w:rPr>
            <w:rStyle w:val="af5"/>
            <w:bCs/>
            <w:noProof/>
          </w:rPr>
          <w:t>第十三条 基金有关文件和档案的保存</w:t>
        </w:r>
        <w:r w:rsidR="007750ED">
          <w:rPr>
            <w:noProof/>
            <w:webHidden/>
          </w:rPr>
          <w:tab/>
        </w:r>
        <w:r w:rsidR="007750ED">
          <w:rPr>
            <w:noProof/>
            <w:webHidden/>
          </w:rPr>
          <w:fldChar w:fldCharType="begin"/>
        </w:r>
        <w:r w:rsidR="007750ED">
          <w:rPr>
            <w:noProof/>
            <w:webHidden/>
          </w:rPr>
          <w:instrText xml:space="preserve"> PAGEREF _Toc200545744 \h </w:instrText>
        </w:r>
        <w:r w:rsidR="007750ED">
          <w:rPr>
            <w:noProof/>
            <w:webHidden/>
          </w:rPr>
        </w:r>
        <w:r w:rsidR="007750ED">
          <w:rPr>
            <w:noProof/>
            <w:webHidden/>
          </w:rPr>
          <w:fldChar w:fldCharType="separate"/>
        </w:r>
        <w:r w:rsidR="007750ED">
          <w:rPr>
            <w:noProof/>
            <w:webHidden/>
          </w:rPr>
          <w:t>35</w:t>
        </w:r>
        <w:r w:rsidR="007750ED">
          <w:rPr>
            <w:noProof/>
            <w:webHidden/>
          </w:rPr>
          <w:fldChar w:fldCharType="end"/>
        </w:r>
      </w:hyperlink>
    </w:p>
    <w:p w14:paraId="3321C35D" w14:textId="34252955" w:rsidR="007750ED" w:rsidRDefault="00F50124">
      <w:pPr>
        <w:pStyle w:val="TOC1"/>
        <w:rPr>
          <w:rFonts w:asciiTheme="minorHAnsi" w:eastAsiaTheme="minorEastAsia" w:hAnsiTheme="minorHAnsi" w:cstheme="minorBidi"/>
          <w:noProof/>
          <w:sz w:val="21"/>
          <w:szCs w:val="22"/>
        </w:rPr>
      </w:pPr>
      <w:hyperlink w:anchor="_Toc200545745" w:history="1">
        <w:r w:rsidR="007750ED" w:rsidRPr="00A05C7E">
          <w:rPr>
            <w:rStyle w:val="af5"/>
            <w:bCs/>
            <w:noProof/>
          </w:rPr>
          <w:t>第十四条 基金管理人和基金托管人的更换</w:t>
        </w:r>
        <w:r w:rsidR="007750ED">
          <w:rPr>
            <w:noProof/>
            <w:webHidden/>
          </w:rPr>
          <w:tab/>
        </w:r>
        <w:r w:rsidR="007750ED">
          <w:rPr>
            <w:noProof/>
            <w:webHidden/>
          </w:rPr>
          <w:fldChar w:fldCharType="begin"/>
        </w:r>
        <w:r w:rsidR="007750ED">
          <w:rPr>
            <w:noProof/>
            <w:webHidden/>
          </w:rPr>
          <w:instrText xml:space="preserve"> PAGEREF _Toc200545745 \h </w:instrText>
        </w:r>
        <w:r w:rsidR="007750ED">
          <w:rPr>
            <w:noProof/>
            <w:webHidden/>
          </w:rPr>
        </w:r>
        <w:r w:rsidR="007750ED">
          <w:rPr>
            <w:noProof/>
            <w:webHidden/>
          </w:rPr>
          <w:fldChar w:fldCharType="separate"/>
        </w:r>
        <w:r w:rsidR="007750ED">
          <w:rPr>
            <w:noProof/>
            <w:webHidden/>
          </w:rPr>
          <w:t>35</w:t>
        </w:r>
        <w:r w:rsidR="007750ED">
          <w:rPr>
            <w:noProof/>
            <w:webHidden/>
          </w:rPr>
          <w:fldChar w:fldCharType="end"/>
        </w:r>
      </w:hyperlink>
    </w:p>
    <w:p w14:paraId="315088CC" w14:textId="570A6900" w:rsidR="007750ED" w:rsidRDefault="00F50124">
      <w:pPr>
        <w:pStyle w:val="TOC1"/>
        <w:rPr>
          <w:rFonts w:asciiTheme="minorHAnsi" w:eastAsiaTheme="minorEastAsia" w:hAnsiTheme="minorHAnsi" w:cstheme="minorBidi"/>
          <w:noProof/>
          <w:sz w:val="21"/>
          <w:szCs w:val="22"/>
        </w:rPr>
      </w:pPr>
      <w:hyperlink w:anchor="_Toc200545746" w:history="1">
        <w:r w:rsidR="007750ED" w:rsidRPr="00A05C7E">
          <w:rPr>
            <w:rStyle w:val="af5"/>
            <w:bCs/>
            <w:noProof/>
          </w:rPr>
          <w:t>第十五条 禁止行为</w:t>
        </w:r>
        <w:r w:rsidR="007750ED">
          <w:rPr>
            <w:noProof/>
            <w:webHidden/>
          </w:rPr>
          <w:tab/>
        </w:r>
        <w:r w:rsidR="007750ED">
          <w:rPr>
            <w:noProof/>
            <w:webHidden/>
          </w:rPr>
          <w:fldChar w:fldCharType="begin"/>
        </w:r>
        <w:r w:rsidR="007750ED">
          <w:rPr>
            <w:noProof/>
            <w:webHidden/>
          </w:rPr>
          <w:instrText xml:space="preserve"> PAGEREF _Toc200545746 \h </w:instrText>
        </w:r>
        <w:r w:rsidR="007750ED">
          <w:rPr>
            <w:noProof/>
            <w:webHidden/>
          </w:rPr>
        </w:r>
        <w:r w:rsidR="007750ED">
          <w:rPr>
            <w:noProof/>
            <w:webHidden/>
          </w:rPr>
          <w:fldChar w:fldCharType="separate"/>
        </w:r>
        <w:r w:rsidR="007750ED">
          <w:rPr>
            <w:noProof/>
            <w:webHidden/>
          </w:rPr>
          <w:t>38</w:t>
        </w:r>
        <w:r w:rsidR="007750ED">
          <w:rPr>
            <w:noProof/>
            <w:webHidden/>
          </w:rPr>
          <w:fldChar w:fldCharType="end"/>
        </w:r>
      </w:hyperlink>
    </w:p>
    <w:p w14:paraId="799CD4EB" w14:textId="571BC501" w:rsidR="007750ED" w:rsidRDefault="00F50124">
      <w:pPr>
        <w:pStyle w:val="TOC1"/>
        <w:rPr>
          <w:rFonts w:asciiTheme="minorHAnsi" w:eastAsiaTheme="minorEastAsia" w:hAnsiTheme="minorHAnsi" w:cstheme="minorBidi"/>
          <w:noProof/>
          <w:sz w:val="21"/>
          <w:szCs w:val="22"/>
        </w:rPr>
      </w:pPr>
      <w:hyperlink w:anchor="_Toc200545747" w:history="1">
        <w:r w:rsidR="007750ED" w:rsidRPr="00A05C7E">
          <w:rPr>
            <w:rStyle w:val="af5"/>
            <w:bCs/>
            <w:noProof/>
          </w:rPr>
          <w:t>第十六条 本协议的变更、终止与基金财产的清算</w:t>
        </w:r>
        <w:r w:rsidR="007750ED">
          <w:rPr>
            <w:noProof/>
            <w:webHidden/>
          </w:rPr>
          <w:tab/>
        </w:r>
        <w:r w:rsidR="007750ED">
          <w:rPr>
            <w:noProof/>
            <w:webHidden/>
          </w:rPr>
          <w:fldChar w:fldCharType="begin"/>
        </w:r>
        <w:r w:rsidR="007750ED">
          <w:rPr>
            <w:noProof/>
            <w:webHidden/>
          </w:rPr>
          <w:instrText xml:space="preserve"> PAGEREF _Toc200545747 \h </w:instrText>
        </w:r>
        <w:r w:rsidR="007750ED">
          <w:rPr>
            <w:noProof/>
            <w:webHidden/>
          </w:rPr>
        </w:r>
        <w:r w:rsidR="007750ED">
          <w:rPr>
            <w:noProof/>
            <w:webHidden/>
          </w:rPr>
          <w:fldChar w:fldCharType="separate"/>
        </w:r>
        <w:r w:rsidR="007750ED">
          <w:rPr>
            <w:noProof/>
            <w:webHidden/>
          </w:rPr>
          <w:t>39</w:t>
        </w:r>
        <w:r w:rsidR="007750ED">
          <w:rPr>
            <w:noProof/>
            <w:webHidden/>
          </w:rPr>
          <w:fldChar w:fldCharType="end"/>
        </w:r>
      </w:hyperlink>
    </w:p>
    <w:p w14:paraId="10A14145" w14:textId="1CBA453C" w:rsidR="007750ED" w:rsidRDefault="00F50124">
      <w:pPr>
        <w:pStyle w:val="TOC1"/>
        <w:rPr>
          <w:rFonts w:asciiTheme="minorHAnsi" w:eastAsiaTheme="minorEastAsia" w:hAnsiTheme="minorHAnsi" w:cstheme="minorBidi"/>
          <w:noProof/>
          <w:sz w:val="21"/>
          <w:szCs w:val="22"/>
        </w:rPr>
      </w:pPr>
      <w:hyperlink w:anchor="_Toc200545748" w:history="1">
        <w:r w:rsidR="007750ED" w:rsidRPr="00A05C7E">
          <w:rPr>
            <w:rStyle w:val="af5"/>
            <w:bCs/>
            <w:noProof/>
          </w:rPr>
          <w:t>第十七条 违约责任</w:t>
        </w:r>
        <w:r w:rsidR="007750ED">
          <w:rPr>
            <w:noProof/>
            <w:webHidden/>
          </w:rPr>
          <w:tab/>
        </w:r>
        <w:r w:rsidR="007750ED">
          <w:rPr>
            <w:noProof/>
            <w:webHidden/>
          </w:rPr>
          <w:fldChar w:fldCharType="begin"/>
        </w:r>
        <w:r w:rsidR="007750ED">
          <w:rPr>
            <w:noProof/>
            <w:webHidden/>
          </w:rPr>
          <w:instrText xml:space="preserve"> PAGEREF _Toc200545748 \h </w:instrText>
        </w:r>
        <w:r w:rsidR="007750ED">
          <w:rPr>
            <w:noProof/>
            <w:webHidden/>
          </w:rPr>
        </w:r>
        <w:r w:rsidR="007750ED">
          <w:rPr>
            <w:noProof/>
            <w:webHidden/>
          </w:rPr>
          <w:fldChar w:fldCharType="separate"/>
        </w:r>
        <w:r w:rsidR="007750ED">
          <w:rPr>
            <w:noProof/>
            <w:webHidden/>
          </w:rPr>
          <w:t>40</w:t>
        </w:r>
        <w:r w:rsidR="007750ED">
          <w:rPr>
            <w:noProof/>
            <w:webHidden/>
          </w:rPr>
          <w:fldChar w:fldCharType="end"/>
        </w:r>
      </w:hyperlink>
    </w:p>
    <w:p w14:paraId="1551BE53" w14:textId="4EDDEB5F" w:rsidR="007750ED" w:rsidRDefault="00F50124">
      <w:pPr>
        <w:pStyle w:val="TOC1"/>
        <w:rPr>
          <w:rFonts w:asciiTheme="minorHAnsi" w:eastAsiaTheme="minorEastAsia" w:hAnsiTheme="minorHAnsi" w:cstheme="minorBidi"/>
          <w:noProof/>
          <w:sz w:val="21"/>
          <w:szCs w:val="22"/>
        </w:rPr>
      </w:pPr>
      <w:hyperlink w:anchor="_Toc200545749" w:history="1">
        <w:r w:rsidR="007750ED" w:rsidRPr="00A05C7E">
          <w:rPr>
            <w:rStyle w:val="af5"/>
            <w:bCs/>
            <w:noProof/>
          </w:rPr>
          <w:t>第十八条 法律适用和争议解决</w:t>
        </w:r>
        <w:r w:rsidR="007750ED">
          <w:rPr>
            <w:noProof/>
            <w:webHidden/>
          </w:rPr>
          <w:tab/>
        </w:r>
        <w:r w:rsidR="007750ED">
          <w:rPr>
            <w:noProof/>
            <w:webHidden/>
          </w:rPr>
          <w:fldChar w:fldCharType="begin"/>
        </w:r>
        <w:r w:rsidR="007750ED">
          <w:rPr>
            <w:noProof/>
            <w:webHidden/>
          </w:rPr>
          <w:instrText xml:space="preserve"> PAGEREF _Toc200545749 \h </w:instrText>
        </w:r>
        <w:r w:rsidR="007750ED">
          <w:rPr>
            <w:noProof/>
            <w:webHidden/>
          </w:rPr>
        </w:r>
        <w:r w:rsidR="007750ED">
          <w:rPr>
            <w:noProof/>
            <w:webHidden/>
          </w:rPr>
          <w:fldChar w:fldCharType="separate"/>
        </w:r>
        <w:r w:rsidR="007750ED">
          <w:rPr>
            <w:noProof/>
            <w:webHidden/>
          </w:rPr>
          <w:t>42</w:t>
        </w:r>
        <w:r w:rsidR="007750ED">
          <w:rPr>
            <w:noProof/>
            <w:webHidden/>
          </w:rPr>
          <w:fldChar w:fldCharType="end"/>
        </w:r>
      </w:hyperlink>
    </w:p>
    <w:p w14:paraId="7BFF29D9" w14:textId="5EFF0324" w:rsidR="007750ED" w:rsidRDefault="00F50124">
      <w:pPr>
        <w:pStyle w:val="TOC1"/>
        <w:rPr>
          <w:rFonts w:asciiTheme="minorHAnsi" w:eastAsiaTheme="minorEastAsia" w:hAnsiTheme="minorHAnsi" w:cstheme="minorBidi"/>
          <w:noProof/>
          <w:sz w:val="21"/>
          <w:szCs w:val="22"/>
        </w:rPr>
      </w:pPr>
      <w:hyperlink w:anchor="_Toc200545750" w:history="1">
        <w:r w:rsidR="007750ED" w:rsidRPr="00A05C7E">
          <w:rPr>
            <w:rStyle w:val="af5"/>
            <w:bCs/>
            <w:noProof/>
          </w:rPr>
          <w:t>第十九条 本协议的效力</w:t>
        </w:r>
        <w:r w:rsidR="007750ED">
          <w:rPr>
            <w:noProof/>
            <w:webHidden/>
          </w:rPr>
          <w:tab/>
        </w:r>
        <w:r w:rsidR="007750ED">
          <w:rPr>
            <w:noProof/>
            <w:webHidden/>
          </w:rPr>
          <w:fldChar w:fldCharType="begin"/>
        </w:r>
        <w:r w:rsidR="007750ED">
          <w:rPr>
            <w:noProof/>
            <w:webHidden/>
          </w:rPr>
          <w:instrText xml:space="preserve"> PAGEREF _Toc200545750 \h </w:instrText>
        </w:r>
        <w:r w:rsidR="007750ED">
          <w:rPr>
            <w:noProof/>
            <w:webHidden/>
          </w:rPr>
        </w:r>
        <w:r w:rsidR="007750ED">
          <w:rPr>
            <w:noProof/>
            <w:webHidden/>
          </w:rPr>
          <w:fldChar w:fldCharType="separate"/>
        </w:r>
        <w:r w:rsidR="007750ED">
          <w:rPr>
            <w:noProof/>
            <w:webHidden/>
          </w:rPr>
          <w:t>42</w:t>
        </w:r>
        <w:r w:rsidR="007750ED">
          <w:rPr>
            <w:noProof/>
            <w:webHidden/>
          </w:rPr>
          <w:fldChar w:fldCharType="end"/>
        </w:r>
      </w:hyperlink>
    </w:p>
    <w:p w14:paraId="06F576C7" w14:textId="0FE2578E" w:rsidR="007750ED" w:rsidRDefault="00F50124">
      <w:pPr>
        <w:pStyle w:val="TOC1"/>
        <w:rPr>
          <w:rFonts w:asciiTheme="minorHAnsi" w:eastAsiaTheme="minorEastAsia" w:hAnsiTheme="minorHAnsi" w:cstheme="minorBidi"/>
          <w:noProof/>
          <w:sz w:val="21"/>
          <w:szCs w:val="22"/>
        </w:rPr>
      </w:pPr>
      <w:hyperlink w:anchor="_Toc200545751" w:history="1">
        <w:r w:rsidR="007750ED" w:rsidRPr="00A05C7E">
          <w:rPr>
            <w:rStyle w:val="af5"/>
            <w:bCs/>
            <w:noProof/>
          </w:rPr>
          <w:t>第二十条 本协议的签订</w:t>
        </w:r>
        <w:r w:rsidR="007750ED">
          <w:rPr>
            <w:noProof/>
            <w:webHidden/>
          </w:rPr>
          <w:tab/>
        </w:r>
        <w:r w:rsidR="007750ED">
          <w:rPr>
            <w:noProof/>
            <w:webHidden/>
          </w:rPr>
          <w:fldChar w:fldCharType="begin"/>
        </w:r>
        <w:r w:rsidR="007750ED">
          <w:rPr>
            <w:noProof/>
            <w:webHidden/>
          </w:rPr>
          <w:instrText xml:space="preserve"> PAGEREF _Toc200545751 \h </w:instrText>
        </w:r>
        <w:r w:rsidR="007750ED">
          <w:rPr>
            <w:noProof/>
            <w:webHidden/>
          </w:rPr>
        </w:r>
        <w:r w:rsidR="007750ED">
          <w:rPr>
            <w:noProof/>
            <w:webHidden/>
          </w:rPr>
          <w:fldChar w:fldCharType="separate"/>
        </w:r>
        <w:r w:rsidR="007750ED">
          <w:rPr>
            <w:noProof/>
            <w:webHidden/>
          </w:rPr>
          <w:t>42</w:t>
        </w:r>
        <w:r w:rsidR="007750ED">
          <w:rPr>
            <w:noProof/>
            <w:webHidden/>
          </w:rPr>
          <w:fldChar w:fldCharType="end"/>
        </w:r>
      </w:hyperlink>
    </w:p>
    <w:p w14:paraId="05020A38" w14:textId="11DA5709" w:rsidR="00950499" w:rsidRPr="003A2857" w:rsidRDefault="00166BE9">
      <w:pPr>
        <w:snapToGrid w:val="0"/>
        <w:spacing w:line="360" w:lineRule="auto"/>
        <w:jc w:val="center"/>
        <w:rPr>
          <w:rFonts w:ascii="宋体" w:hAnsi="宋体"/>
          <w:b/>
          <w:color w:val="000000" w:themeColor="text1"/>
          <w:szCs w:val="21"/>
        </w:rPr>
      </w:pPr>
      <w:r w:rsidRPr="003A2857">
        <w:rPr>
          <w:rFonts w:ascii="宋体" w:hAnsi="宋体"/>
          <w:b/>
          <w:color w:val="000000" w:themeColor="text1"/>
          <w:szCs w:val="21"/>
        </w:rPr>
        <w:fldChar w:fldCharType="end"/>
      </w:r>
    </w:p>
    <w:p w14:paraId="3A4EBBEB" w14:textId="75191A05" w:rsidR="00950499" w:rsidRPr="003A2857" w:rsidRDefault="005541ED">
      <w:pPr>
        <w:adjustRightInd w:val="0"/>
        <w:snapToGrid w:val="0"/>
        <w:spacing w:line="520" w:lineRule="atLeast"/>
        <w:jc w:val="center"/>
        <w:rPr>
          <w:rFonts w:ascii="宋体" w:hAnsi="宋体"/>
          <w:b/>
          <w:color w:val="000000" w:themeColor="text1"/>
          <w:szCs w:val="21"/>
        </w:rPr>
      </w:pPr>
      <w:r w:rsidRPr="003A2857">
        <w:rPr>
          <w:rFonts w:ascii="宋体" w:hAnsi="宋体"/>
          <w:b/>
          <w:color w:val="000000" w:themeColor="text1"/>
          <w:szCs w:val="21"/>
        </w:rPr>
        <w:br w:type="page"/>
      </w:r>
      <w:r w:rsidR="00670326">
        <w:rPr>
          <w:rFonts w:ascii="宋体" w:hAnsi="宋体" w:hint="eastAsia"/>
          <w:b/>
          <w:color w:val="000000" w:themeColor="text1"/>
          <w:szCs w:val="21"/>
        </w:rPr>
        <w:lastRenderedPageBreak/>
        <w:t>华夏信选混合型证券投资基金</w:t>
      </w:r>
      <w:r w:rsidRPr="003A2857">
        <w:rPr>
          <w:rFonts w:ascii="宋体" w:hAnsi="宋体" w:hint="eastAsia"/>
          <w:b/>
          <w:color w:val="000000" w:themeColor="text1"/>
          <w:szCs w:val="21"/>
        </w:rPr>
        <w:t>托管协议</w:t>
      </w:r>
    </w:p>
    <w:p w14:paraId="798BFB56" w14:textId="77777777" w:rsidR="004D40A2" w:rsidRPr="003A2857" w:rsidRDefault="004D40A2">
      <w:pPr>
        <w:adjustRightInd w:val="0"/>
        <w:snapToGrid w:val="0"/>
        <w:spacing w:line="520" w:lineRule="atLeast"/>
        <w:jc w:val="center"/>
        <w:rPr>
          <w:rFonts w:ascii="宋体" w:hAnsi="宋体"/>
          <w:b/>
          <w:color w:val="000000" w:themeColor="text1"/>
          <w:szCs w:val="21"/>
        </w:rPr>
      </w:pPr>
    </w:p>
    <w:p w14:paraId="0A3611B3" w14:textId="77777777" w:rsidR="004D40A2" w:rsidRPr="003A2857" w:rsidRDefault="004D40A2">
      <w:pPr>
        <w:adjustRightInd w:val="0"/>
        <w:snapToGrid w:val="0"/>
        <w:spacing w:line="520" w:lineRule="atLeast"/>
        <w:jc w:val="center"/>
        <w:rPr>
          <w:rFonts w:ascii="宋体" w:hAnsi="宋体"/>
          <w:color w:val="000000" w:themeColor="text1"/>
          <w:szCs w:val="21"/>
        </w:rPr>
      </w:pPr>
    </w:p>
    <w:p w14:paraId="5751B274" w14:textId="77777777" w:rsidR="00950499" w:rsidRPr="003A2857" w:rsidRDefault="005541ED" w:rsidP="003A2857">
      <w:pPr>
        <w:tabs>
          <w:tab w:val="left" w:pos="5940"/>
        </w:tabs>
        <w:snapToGrid w:val="0"/>
        <w:spacing w:line="360" w:lineRule="auto"/>
        <w:rPr>
          <w:rFonts w:ascii="宋体" w:hAnsi="宋体"/>
          <w:color w:val="000000" w:themeColor="text1"/>
          <w:szCs w:val="21"/>
        </w:rPr>
      </w:pPr>
      <w:r w:rsidRPr="003A2857">
        <w:rPr>
          <w:rFonts w:ascii="宋体" w:hAnsi="宋体" w:hint="eastAsia"/>
          <w:color w:val="000000" w:themeColor="text1"/>
          <w:szCs w:val="21"/>
        </w:rPr>
        <w:t>基金管理人：</w:t>
      </w:r>
      <w:r w:rsidR="004D40A2" w:rsidRPr="003A2857">
        <w:rPr>
          <w:rFonts w:ascii="宋体" w:hAnsi="宋体" w:hint="eastAsia"/>
          <w:color w:val="000000" w:themeColor="text1"/>
          <w:szCs w:val="21"/>
        </w:rPr>
        <w:t>华夏基金管理有限公司</w:t>
      </w:r>
      <w:r w:rsidRPr="003A2857">
        <w:rPr>
          <w:rFonts w:ascii="宋体" w:hAnsi="宋体" w:hint="eastAsia"/>
          <w:color w:val="000000" w:themeColor="text1"/>
          <w:szCs w:val="21"/>
        </w:rPr>
        <w:t xml:space="preserve"> </w:t>
      </w:r>
    </w:p>
    <w:p w14:paraId="7437EF58" w14:textId="52CF5D96" w:rsidR="00950499" w:rsidRPr="003A2857" w:rsidRDefault="005541ED" w:rsidP="003A2857">
      <w:pPr>
        <w:tabs>
          <w:tab w:val="left" w:pos="5940"/>
        </w:tabs>
        <w:snapToGrid w:val="0"/>
        <w:spacing w:line="360" w:lineRule="auto"/>
        <w:rPr>
          <w:rFonts w:ascii="宋体" w:hAnsi="宋体"/>
          <w:color w:val="000000" w:themeColor="text1"/>
          <w:szCs w:val="21"/>
        </w:rPr>
      </w:pPr>
      <w:r w:rsidRPr="003A2857">
        <w:rPr>
          <w:rFonts w:ascii="宋体" w:hAnsi="宋体" w:hint="eastAsia"/>
          <w:color w:val="000000" w:themeColor="text1"/>
          <w:szCs w:val="21"/>
        </w:rPr>
        <w:t>法定代表人：</w:t>
      </w:r>
      <w:r w:rsidR="00670326">
        <w:rPr>
          <w:rFonts w:ascii="宋体" w:hAnsi="宋体" w:hint="eastAsia"/>
          <w:color w:val="000000" w:themeColor="text1"/>
          <w:szCs w:val="21"/>
        </w:rPr>
        <w:t>张佑君</w:t>
      </w:r>
    </w:p>
    <w:p w14:paraId="20E5EFB1" w14:textId="77777777" w:rsidR="00950499" w:rsidRPr="003A2857" w:rsidRDefault="005541ED" w:rsidP="003A2857">
      <w:pPr>
        <w:tabs>
          <w:tab w:val="left" w:pos="5940"/>
        </w:tabs>
        <w:snapToGrid w:val="0"/>
        <w:spacing w:line="360" w:lineRule="auto"/>
        <w:rPr>
          <w:rFonts w:ascii="宋体" w:hAnsi="宋体"/>
          <w:color w:val="000000" w:themeColor="text1"/>
          <w:szCs w:val="21"/>
        </w:rPr>
      </w:pPr>
      <w:r w:rsidRPr="003A2857">
        <w:rPr>
          <w:rFonts w:ascii="宋体" w:hAnsi="宋体" w:hint="eastAsia"/>
          <w:color w:val="000000" w:themeColor="text1"/>
          <w:szCs w:val="21"/>
        </w:rPr>
        <w:t>住    所：</w:t>
      </w:r>
      <w:r w:rsidR="004D40A2" w:rsidRPr="003A2857">
        <w:rPr>
          <w:rFonts w:ascii="宋体" w:hAnsi="宋体" w:hint="eastAsia"/>
          <w:color w:val="000000" w:themeColor="text1"/>
          <w:szCs w:val="21"/>
        </w:rPr>
        <w:t>北京市顺义区安庆大街甲3号院</w:t>
      </w:r>
    </w:p>
    <w:p w14:paraId="3029225B" w14:textId="77777777" w:rsidR="00950499" w:rsidRPr="003A2857" w:rsidRDefault="00950499" w:rsidP="003A2857">
      <w:pPr>
        <w:tabs>
          <w:tab w:val="left" w:pos="5940"/>
        </w:tabs>
        <w:snapToGrid w:val="0"/>
        <w:spacing w:line="360" w:lineRule="auto"/>
        <w:rPr>
          <w:rFonts w:ascii="宋体" w:hAnsi="宋体"/>
          <w:color w:val="000000" w:themeColor="text1"/>
          <w:szCs w:val="21"/>
        </w:rPr>
      </w:pPr>
    </w:p>
    <w:p w14:paraId="3517DAB8" w14:textId="77777777" w:rsidR="00743726" w:rsidRPr="003A2857" w:rsidRDefault="00743726" w:rsidP="00743726">
      <w:pPr>
        <w:tabs>
          <w:tab w:val="left" w:pos="5940"/>
        </w:tabs>
        <w:snapToGrid w:val="0"/>
        <w:spacing w:line="360" w:lineRule="auto"/>
        <w:rPr>
          <w:rFonts w:ascii="宋体" w:hAnsi="宋体"/>
          <w:color w:val="000000" w:themeColor="text1"/>
          <w:szCs w:val="21"/>
        </w:rPr>
      </w:pPr>
      <w:r w:rsidRPr="003A2857">
        <w:rPr>
          <w:rFonts w:ascii="宋体" w:hAnsi="宋体" w:hint="eastAsia"/>
          <w:color w:val="000000" w:themeColor="text1"/>
          <w:szCs w:val="21"/>
        </w:rPr>
        <w:t xml:space="preserve">基金托管人：中信银行股份有限公司 </w:t>
      </w:r>
    </w:p>
    <w:p w14:paraId="6F2EA0A1" w14:textId="6E38EBEB" w:rsidR="000B3513" w:rsidRPr="003A2857" w:rsidRDefault="000B3513" w:rsidP="003A2857">
      <w:pPr>
        <w:tabs>
          <w:tab w:val="left" w:pos="5940"/>
        </w:tabs>
        <w:snapToGrid w:val="0"/>
        <w:spacing w:line="360" w:lineRule="auto"/>
        <w:rPr>
          <w:rFonts w:ascii="宋体" w:hAnsi="宋体"/>
          <w:color w:val="000000" w:themeColor="text1"/>
          <w:szCs w:val="21"/>
        </w:rPr>
      </w:pPr>
      <w:r w:rsidRPr="003A2857">
        <w:rPr>
          <w:rFonts w:ascii="宋体" w:hAnsi="宋体" w:hint="eastAsia"/>
          <w:color w:val="000000" w:themeColor="text1"/>
          <w:szCs w:val="21"/>
        </w:rPr>
        <w:t>法定代表人：</w:t>
      </w:r>
      <w:r w:rsidR="00670326" w:rsidRPr="00E40A12">
        <w:rPr>
          <w:rFonts w:hint="eastAsia"/>
          <w:szCs w:val="21"/>
        </w:rPr>
        <w:t>方合英</w:t>
      </w:r>
    </w:p>
    <w:p w14:paraId="6AD52DE2" w14:textId="77777777" w:rsidR="00743726" w:rsidRPr="003A2857" w:rsidRDefault="00743726" w:rsidP="003A2857">
      <w:pPr>
        <w:tabs>
          <w:tab w:val="left" w:pos="5940"/>
        </w:tabs>
        <w:snapToGrid w:val="0"/>
        <w:spacing w:line="360" w:lineRule="auto"/>
        <w:rPr>
          <w:rFonts w:ascii="宋体" w:hAnsi="宋体"/>
          <w:color w:val="000000" w:themeColor="text1"/>
          <w:szCs w:val="21"/>
        </w:rPr>
      </w:pPr>
      <w:r w:rsidRPr="003A2857">
        <w:rPr>
          <w:rFonts w:ascii="宋体" w:hAnsi="宋体" w:hint="eastAsia"/>
          <w:color w:val="000000" w:themeColor="text1"/>
          <w:szCs w:val="21"/>
        </w:rPr>
        <w:t>住所：北京市朝阳区光华路10号院1号楼6-30层、32-42层</w:t>
      </w:r>
    </w:p>
    <w:p w14:paraId="0F4E1870" w14:textId="77777777" w:rsidR="00950499" w:rsidRPr="003A2857" w:rsidRDefault="00950499">
      <w:pPr>
        <w:autoSpaceDE w:val="0"/>
        <w:autoSpaceDN w:val="0"/>
        <w:adjustRightInd w:val="0"/>
        <w:spacing w:line="520" w:lineRule="atLeast"/>
        <w:rPr>
          <w:rFonts w:ascii="宋体" w:hAnsi="宋体"/>
          <w:color w:val="000000" w:themeColor="text1"/>
          <w:szCs w:val="21"/>
        </w:rPr>
      </w:pPr>
    </w:p>
    <w:p w14:paraId="420C325D" w14:textId="77777777" w:rsidR="00950499" w:rsidRPr="003A2857" w:rsidRDefault="005541ED" w:rsidP="00FB2E71">
      <w:pPr>
        <w:autoSpaceDE w:val="0"/>
        <w:autoSpaceDN w:val="0"/>
        <w:adjustRightInd w:val="0"/>
        <w:spacing w:line="520" w:lineRule="atLeast"/>
        <w:ind w:firstLineChars="200" w:firstLine="422"/>
        <w:rPr>
          <w:rFonts w:ascii="宋体" w:hAnsi="宋体"/>
          <w:b/>
          <w:color w:val="000000" w:themeColor="text1"/>
          <w:szCs w:val="21"/>
        </w:rPr>
      </w:pPr>
      <w:r w:rsidRPr="003A2857">
        <w:rPr>
          <w:rFonts w:ascii="宋体" w:hAnsi="宋体" w:hint="eastAsia"/>
          <w:b/>
          <w:color w:val="000000" w:themeColor="text1"/>
          <w:szCs w:val="21"/>
        </w:rPr>
        <w:t>鉴于：</w:t>
      </w:r>
    </w:p>
    <w:p w14:paraId="68F5040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w:t>
      </w:r>
      <w:r w:rsidR="004D40A2" w:rsidRPr="003A2857">
        <w:rPr>
          <w:rFonts w:hAnsi="宋体" w:hint="eastAsia"/>
          <w:color w:val="000000" w:themeColor="text1"/>
          <w:sz w:val="21"/>
          <w:szCs w:val="21"/>
        </w:rPr>
        <w:t>华夏基金管理有限公司</w:t>
      </w:r>
      <w:r w:rsidRPr="003A2857">
        <w:rPr>
          <w:rFonts w:hAnsi="宋体" w:hint="eastAsia"/>
          <w:color w:val="000000" w:themeColor="text1"/>
          <w:sz w:val="21"/>
          <w:szCs w:val="21"/>
        </w:rPr>
        <w:t>系一家依照中国法律合法成立并有效存续的法人或非法人</w:t>
      </w:r>
      <w:r w:rsidRPr="003A2857">
        <w:rPr>
          <w:rFonts w:hAnsi="宋体"/>
          <w:color w:val="000000" w:themeColor="text1"/>
          <w:sz w:val="21"/>
          <w:szCs w:val="21"/>
        </w:rPr>
        <w:t>组织</w:t>
      </w:r>
      <w:r w:rsidRPr="003A2857">
        <w:rPr>
          <w:rFonts w:hAnsi="宋体" w:hint="eastAsia"/>
          <w:color w:val="000000" w:themeColor="text1"/>
          <w:sz w:val="21"/>
          <w:szCs w:val="21"/>
        </w:rPr>
        <w:t>，按照相关法律法规的规定具备担任基金管理人的资格和能力；</w:t>
      </w:r>
    </w:p>
    <w:p w14:paraId="1AA8967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2.中信银行股份有限公司系一家依照中国法律合法成立并有效存续的银行，按照相关法律法规的规定具备担任基金托管人的资格和能力；</w:t>
      </w:r>
    </w:p>
    <w:p w14:paraId="50A18B8E" w14:textId="04FF0924"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w:t>
      </w:r>
      <w:r w:rsidR="004D40A2" w:rsidRPr="003A2857">
        <w:rPr>
          <w:rFonts w:hAnsi="宋体" w:hint="eastAsia"/>
          <w:color w:val="000000" w:themeColor="text1"/>
          <w:sz w:val="21"/>
          <w:szCs w:val="21"/>
        </w:rPr>
        <w:t>华夏基金管理有限公司</w:t>
      </w:r>
      <w:r w:rsidRPr="003A2857">
        <w:rPr>
          <w:rFonts w:hAnsi="宋体" w:hint="eastAsia"/>
          <w:color w:val="000000" w:themeColor="text1"/>
          <w:sz w:val="21"/>
          <w:szCs w:val="21"/>
        </w:rPr>
        <w:t>拟担任</w:t>
      </w:r>
      <w:r w:rsidR="00670326">
        <w:rPr>
          <w:rFonts w:hAnsi="宋体" w:hint="eastAsia"/>
          <w:color w:val="000000" w:themeColor="text1"/>
          <w:sz w:val="21"/>
          <w:szCs w:val="21"/>
        </w:rPr>
        <w:t>华夏信选混合型证券投资基金</w:t>
      </w:r>
      <w:r w:rsidRPr="003A2857">
        <w:rPr>
          <w:rFonts w:hAnsi="宋体" w:hint="eastAsia"/>
          <w:color w:val="000000" w:themeColor="text1"/>
          <w:sz w:val="21"/>
          <w:szCs w:val="21"/>
        </w:rPr>
        <w:t>的基金管理人，中信银行股份有限公司拟担任</w:t>
      </w:r>
      <w:r w:rsidR="00670326">
        <w:rPr>
          <w:rFonts w:hAnsi="宋体" w:hint="eastAsia"/>
          <w:color w:val="000000" w:themeColor="text1"/>
          <w:sz w:val="21"/>
          <w:szCs w:val="21"/>
        </w:rPr>
        <w:t>华夏信选混合型证券投资基金</w:t>
      </w:r>
      <w:r w:rsidRPr="003A2857">
        <w:rPr>
          <w:rFonts w:hAnsi="宋体" w:hint="eastAsia"/>
          <w:color w:val="000000" w:themeColor="text1"/>
          <w:sz w:val="21"/>
          <w:szCs w:val="21"/>
        </w:rPr>
        <w:t>的基金托管人；</w:t>
      </w:r>
    </w:p>
    <w:p w14:paraId="60739A2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为明确双方在基金托管中的权利、义务及责任，确保基金财产的安全，保护基金份额持有人的合法权益，依据相关法律法规和监管规定，双方本着平等自愿、诚实守信的原则特签订本协议。</w:t>
      </w:r>
    </w:p>
    <w:p w14:paraId="4DECD222" w14:textId="77777777" w:rsidR="00950499" w:rsidRPr="003A2857" w:rsidRDefault="005541ED">
      <w:pPr>
        <w:pStyle w:val="20"/>
        <w:spacing w:before="0" w:after="0" w:line="520" w:lineRule="atLeast"/>
        <w:ind w:left="0" w:firstLine="541"/>
        <w:rPr>
          <w:rFonts w:hAnsi="宋体"/>
          <w:b/>
          <w:bCs/>
          <w:color w:val="000000" w:themeColor="text1"/>
          <w:sz w:val="21"/>
          <w:szCs w:val="21"/>
        </w:rPr>
      </w:pPr>
      <w:r w:rsidRPr="003A2857">
        <w:rPr>
          <w:rFonts w:hAnsi="宋体" w:hint="eastAsia"/>
          <w:b/>
          <w:bCs/>
          <w:color w:val="000000" w:themeColor="text1"/>
          <w:sz w:val="21"/>
          <w:szCs w:val="21"/>
        </w:rPr>
        <w:t>释义：</w:t>
      </w:r>
    </w:p>
    <w:p w14:paraId="11463CA5" w14:textId="0CAC47D2"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除非另有约定，《</w:t>
      </w:r>
      <w:r w:rsidR="00670326">
        <w:rPr>
          <w:rFonts w:hAnsi="宋体" w:hint="eastAsia"/>
          <w:color w:val="000000" w:themeColor="text1"/>
          <w:sz w:val="21"/>
          <w:szCs w:val="21"/>
        </w:rPr>
        <w:t>华夏信选混合型证券投资基金</w:t>
      </w:r>
      <w:r w:rsidRPr="003A2857">
        <w:rPr>
          <w:rFonts w:hAnsi="宋体" w:hint="eastAsia"/>
          <w:color w:val="000000" w:themeColor="text1"/>
          <w:sz w:val="21"/>
          <w:szCs w:val="21"/>
        </w:rPr>
        <w:t xml:space="preserve">基金合同》(以下简称“基金合同”)中定义的术语在用于本托管协议时应具有相同的含义；若有抵触，应以基金合同为准，并依其条款解释。 </w:t>
      </w:r>
    </w:p>
    <w:p w14:paraId="1E7A5896" w14:textId="77777777" w:rsidR="007750ED" w:rsidRDefault="007750ED">
      <w:pPr>
        <w:widowControl/>
        <w:jc w:val="left"/>
        <w:rPr>
          <w:rFonts w:ascii="宋体" w:hAnsi="宋体"/>
          <w:b/>
          <w:bCs/>
          <w:color w:val="000000" w:themeColor="text1"/>
          <w:szCs w:val="21"/>
        </w:rPr>
      </w:pPr>
      <w:bookmarkStart w:id="10" w:name="_Toc296551337"/>
      <w:r>
        <w:rPr>
          <w:bCs/>
          <w:color w:val="000000" w:themeColor="text1"/>
          <w:szCs w:val="21"/>
        </w:rPr>
        <w:br w:type="page"/>
      </w:r>
    </w:p>
    <w:p w14:paraId="4E9134B2" w14:textId="41882182" w:rsidR="00950499" w:rsidRPr="003A2857" w:rsidRDefault="005541ED" w:rsidP="00FB2E71">
      <w:pPr>
        <w:pStyle w:val="1"/>
        <w:spacing w:line="520" w:lineRule="atLeast"/>
        <w:ind w:firstLineChars="200" w:firstLine="422"/>
        <w:rPr>
          <w:bCs/>
          <w:color w:val="000000" w:themeColor="text1"/>
          <w:sz w:val="21"/>
          <w:szCs w:val="21"/>
        </w:rPr>
      </w:pPr>
      <w:bookmarkStart w:id="11" w:name="_Toc200545733"/>
      <w:r w:rsidRPr="003A2857">
        <w:rPr>
          <w:rFonts w:hint="eastAsia"/>
          <w:bCs/>
          <w:color w:val="000000" w:themeColor="text1"/>
          <w:sz w:val="21"/>
          <w:szCs w:val="21"/>
        </w:rPr>
        <w:lastRenderedPageBreak/>
        <w:t>第一条 本协议当事人</w:t>
      </w:r>
      <w:bookmarkEnd w:id="10"/>
      <w:bookmarkEnd w:id="11"/>
    </w:p>
    <w:p w14:paraId="339F77B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1.1基金管理人：</w:t>
      </w:r>
    </w:p>
    <w:p w14:paraId="07BF91C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名称：</w:t>
      </w:r>
      <w:r w:rsidR="004D40A2" w:rsidRPr="003A2857">
        <w:rPr>
          <w:rFonts w:hAnsi="宋体" w:hint="eastAsia"/>
          <w:color w:val="000000" w:themeColor="text1"/>
          <w:sz w:val="21"/>
          <w:szCs w:val="21"/>
        </w:rPr>
        <w:t>华夏基金管理有限公司</w:t>
      </w:r>
    </w:p>
    <w:p w14:paraId="5B4835E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住所：</w:t>
      </w:r>
      <w:r w:rsidR="004D40A2" w:rsidRPr="003A2857">
        <w:rPr>
          <w:rFonts w:hAnsi="宋体" w:hint="eastAsia"/>
          <w:color w:val="000000" w:themeColor="text1"/>
          <w:sz w:val="21"/>
          <w:szCs w:val="21"/>
        </w:rPr>
        <w:t>北京市顺义区安庆大街甲3号院</w:t>
      </w:r>
    </w:p>
    <w:p w14:paraId="7C493BCE" w14:textId="729DFA04"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法定代表人：</w:t>
      </w:r>
      <w:r w:rsidR="00670326">
        <w:rPr>
          <w:rFonts w:hAnsi="宋体" w:hint="eastAsia"/>
          <w:color w:val="000000" w:themeColor="text1"/>
          <w:sz w:val="21"/>
          <w:szCs w:val="21"/>
        </w:rPr>
        <w:t>张佑君</w:t>
      </w:r>
    </w:p>
    <w:p w14:paraId="208839F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成立时间：</w:t>
      </w:r>
      <w:r w:rsidR="004D40A2" w:rsidRPr="003A2857">
        <w:rPr>
          <w:rFonts w:hAnsi="宋体" w:hint="eastAsia"/>
          <w:color w:val="000000" w:themeColor="text1"/>
          <w:sz w:val="21"/>
          <w:szCs w:val="21"/>
        </w:rPr>
        <w:t>1998年4月9日</w:t>
      </w:r>
      <w:r w:rsidRPr="003A2857">
        <w:rPr>
          <w:rFonts w:hAnsi="宋体" w:hint="eastAsia"/>
          <w:color w:val="000000" w:themeColor="text1"/>
          <w:sz w:val="21"/>
          <w:szCs w:val="21"/>
        </w:rPr>
        <w:t xml:space="preserve"> </w:t>
      </w:r>
    </w:p>
    <w:p w14:paraId="25244A0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批准设立机关：</w:t>
      </w:r>
      <w:r w:rsidR="004D40A2" w:rsidRPr="003A2857">
        <w:rPr>
          <w:rFonts w:hAnsi="宋体" w:hint="eastAsia"/>
          <w:color w:val="000000" w:themeColor="text1"/>
          <w:sz w:val="21"/>
          <w:szCs w:val="21"/>
        </w:rPr>
        <w:t>中国证监会</w:t>
      </w:r>
      <w:r w:rsidRPr="003A2857">
        <w:rPr>
          <w:rFonts w:hAnsi="宋体" w:hint="eastAsia"/>
          <w:color w:val="000000" w:themeColor="text1"/>
          <w:sz w:val="21"/>
          <w:szCs w:val="21"/>
        </w:rPr>
        <w:t xml:space="preserve"> </w:t>
      </w:r>
    </w:p>
    <w:p w14:paraId="7C3939E5"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批准设立文号：</w:t>
      </w:r>
      <w:r w:rsidR="004D40A2" w:rsidRPr="003A2857">
        <w:rPr>
          <w:rFonts w:hAnsi="宋体" w:hint="eastAsia"/>
          <w:color w:val="000000" w:themeColor="text1"/>
          <w:sz w:val="21"/>
          <w:szCs w:val="21"/>
        </w:rPr>
        <w:t>证监基字[1998]16号文</w:t>
      </w:r>
      <w:r w:rsidRPr="003A2857">
        <w:rPr>
          <w:rFonts w:hAnsi="宋体" w:hint="eastAsia"/>
          <w:color w:val="000000" w:themeColor="text1"/>
          <w:sz w:val="21"/>
          <w:szCs w:val="21"/>
        </w:rPr>
        <w:t xml:space="preserve"> </w:t>
      </w:r>
    </w:p>
    <w:p w14:paraId="3A6F055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组织形式：</w:t>
      </w:r>
      <w:r w:rsidR="004D40A2" w:rsidRPr="003A2857">
        <w:rPr>
          <w:rFonts w:hAnsi="宋体" w:hint="eastAsia"/>
          <w:color w:val="000000" w:themeColor="text1"/>
          <w:sz w:val="21"/>
          <w:szCs w:val="21"/>
        </w:rPr>
        <w:t>有限责任公司</w:t>
      </w:r>
    </w:p>
    <w:p w14:paraId="502CE44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注册资本：</w:t>
      </w:r>
      <w:r w:rsidR="004D40A2" w:rsidRPr="003A2857">
        <w:rPr>
          <w:rFonts w:hAnsi="宋体" w:hint="eastAsia"/>
          <w:color w:val="000000" w:themeColor="text1"/>
          <w:sz w:val="21"/>
          <w:szCs w:val="21"/>
        </w:rPr>
        <w:t>2.38亿元人民币</w:t>
      </w:r>
    </w:p>
    <w:p w14:paraId="653D389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存续期间：</w:t>
      </w:r>
      <w:r w:rsidR="004D40A2" w:rsidRPr="003A2857">
        <w:rPr>
          <w:rFonts w:hAnsi="宋体" w:hint="eastAsia"/>
          <w:color w:val="000000" w:themeColor="text1"/>
          <w:sz w:val="21"/>
          <w:szCs w:val="21"/>
        </w:rPr>
        <w:t>100年</w:t>
      </w:r>
      <w:r w:rsidRPr="003A2857">
        <w:rPr>
          <w:rFonts w:hAnsi="宋体" w:hint="eastAsia"/>
          <w:color w:val="000000" w:themeColor="text1"/>
          <w:sz w:val="21"/>
          <w:szCs w:val="21"/>
        </w:rPr>
        <w:t xml:space="preserve"> </w:t>
      </w:r>
    </w:p>
    <w:p w14:paraId="78B04A9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1.2基金托管人：</w:t>
      </w:r>
    </w:p>
    <w:p w14:paraId="0BDA2413" w14:textId="77777777" w:rsidR="00670326" w:rsidRPr="00670326" w:rsidRDefault="00670326" w:rsidP="00670326">
      <w:pPr>
        <w:pStyle w:val="20"/>
        <w:spacing w:before="0" w:after="0" w:line="520" w:lineRule="atLeast"/>
        <w:ind w:left="0" w:firstLineChars="200" w:firstLine="420"/>
        <w:rPr>
          <w:rFonts w:hAnsi="宋体"/>
          <w:color w:val="000000" w:themeColor="text1"/>
          <w:sz w:val="21"/>
          <w:szCs w:val="21"/>
        </w:rPr>
      </w:pPr>
      <w:bookmarkStart w:id="12" w:name="_Toc296551338"/>
      <w:r w:rsidRPr="00670326">
        <w:rPr>
          <w:rFonts w:hAnsi="宋体" w:hint="eastAsia"/>
          <w:color w:val="000000" w:themeColor="text1"/>
          <w:sz w:val="21"/>
          <w:szCs w:val="21"/>
        </w:rPr>
        <w:t>名称：中信银行股份有限公司</w:t>
      </w:r>
    </w:p>
    <w:p w14:paraId="4AA69CDB" w14:textId="77777777" w:rsidR="00670326" w:rsidRPr="00670326" w:rsidRDefault="00670326" w:rsidP="00670326">
      <w:pPr>
        <w:pStyle w:val="20"/>
        <w:spacing w:before="0" w:after="0" w:line="520" w:lineRule="atLeast"/>
        <w:ind w:left="0" w:firstLineChars="200" w:firstLine="420"/>
        <w:rPr>
          <w:rFonts w:hAnsi="宋体"/>
          <w:color w:val="000000" w:themeColor="text1"/>
          <w:sz w:val="21"/>
          <w:szCs w:val="21"/>
        </w:rPr>
      </w:pPr>
      <w:r w:rsidRPr="00670326">
        <w:rPr>
          <w:rFonts w:hAnsi="宋体" w:hint="eastAsia"/>
          <w:color w:val="000000" w:themeColor="text1"/>
          <w:sz w:val="21"/>
          <w:szCs w:val="21"/>
        </w:rPr>
        <w:t>住所：北京市朝阳区光华路10号院1号楼6-30层、32-42层</w:t>
      </w:r>
    </w:p>
    <w:p w14:paraId="74DC60FC" w14:textId="77777777" w:rsidR="00670326" w:rsidRPr="00670326" w:rsidRDefault="00670326" w:rsidP="00670326">
      <w:pPr>
        <w:pStyle w:val="20"/>
        <w:spacing w:before="0" w:after="0" w:line="520" w:lineRule="atLeast"/>
        <w:ind w:left="0" w:firstLineChars="200" w:firstLine="420"/>
        <w:rPr>
          <w:rFonts w:hAnsi="宋体"/>
          <w:color w:val="000000" w:themeColor="text1"/>
          <w:sz w:val="21"/>
          <w:szCs w:val="21"/>
        </w:rPr>
      </w:pPr>
      <w:r w:rsidRPr="00670326">
        <w:rPr>
          <w:rFonts w:hAnsi="宋体" w:hint="eastAsia"/>
          <w:color w:val="000000" w:themeColor="text1"/>
          <w:sz w:val="21"/>
          <w:szCs w:val="21"/>
        </w:rPr>
        <w:t>法定代表人：方合英</w:t>
      </w:r>
    </w:p>
    <w:p w14:paraId="4581A52C" w14:textId="77777777" w:rsidR="00670326" w:rsidRPr="00670326" w:rsidRDefault="00670326" w:rsidP="00670326">
      <w:pPr>
        <w:pStyle w:val="20"/>
        <w:spacing w:before="0" w:after="0" w:line="520" w:lineRule="atLeast"/>
        <w:ind w:left="0" w:firstLineChars="200" w:firstLine="420"/>
        <w:rPr>
          <w:rFonts w:hAnsi="宋体"/>
          <w:color w:val="000000" w:themeColor="text1"/>
          <w:sz w:val="21"/>
          <w:szCs w:val="21"/>
        </w:rPr>
      </w:pPr>
      <w:r w:rsidRPr="00670326">
        <w:rPr>
          <w:rFonts w:hAnsi="宋体" w:hint="eastAsia"/>
          <w:color w:val="000000" w:themeColor="text1"/>
          <w:sz w:val="21"/>
          <w:szCs w:val="21"/>
        </w:rPr>
        <w:t>成立时间：1987年4月20日</w:t>
      </w:r>
    </w:p>
    <w:p w14:paraId="19AA6C1E" w14:textId="77777777" w:rsidR="00670326" w:rsidRPr="00670326" w:rsidRDefault="00670326" w:rsidP="00670326">
      <w:pPr>
        <w:pStyle w:val="20"/>
        <w:spacing w:before="0" w:after="0" w:line="520" w:lineRule="atLeast"/>
        <w:ind w:left="0" w:firstLineChars="200" w:firstLine="420"/>
        <w:rPr>
          <w:rFonts w:hAnsi="宋体"/>
          <w:color w:val="000000" w:themeColor="text1"/>
          <w:sz w:val="21"/>
          <w:szCs w:val="21"/>
        </w:rPr>
      </w:pPr>
      <w:r w:rsidRPr="00670326">
        <w:rPr>
          <w:rFonts w:hAnsi="宋体" w:hint="eastAsia"/>
          <w:color w:val="000000" w:themeColor="text1"/>
          <w:sz w:val="21"/>
          <w:szCs w:val="21"/>
        </w:rPr>
        <w:t>组织形式：股份有限公司</w:t>
      </w:r>
    </w:p>
    <w:p w14:paraId="3A027A4A" w14:textId="77777777" w:rsidR="00670326" w:rsidRPr="00670326" w:rsidRDefault="00670326" w:rsidP="00670326">
      <w:pPr>
        <w:pStyle w:val="20"/>
        <w:spacing w:before="0" w:after="0" w:line="520" w:lineRule="atLeast"/>
        <w:ind w:left="0" w:firstLineChars="200" w:firstLine="420"/>
        <w:rPr>
          <w:rFonts w:hAnsi="宋体"/>
          <w:color w:val="000000" w:themeColor="text1"/>
          <w:sz w:val="21"/>
          <w:szCs w:val="21"/>
        </w:rPr>
      </w:pPr>
      <w:r w:rsidRPr="00670326">
        <w:rPr>
          <w:rFonts w:hAnsi="宋体" w:hint="eastAsia"/>
          <w:color w:val="000000" w:themeColor="text1"/>
          <w:sz w:val="21"/>
          <w:szCs w:val="21"/>
        </w:rPr>
        <w:t>注册资本：489.35亿元人民币</w:t>
      </w:r>
    </w:p>
    <w:p w14:paraId="0C1A35FD" w14:textId="77777777" w:rsidR="00670326" w:rsidRPr="00670326" w:rsidRDefault="00670326" w:rsidP="00670326">
      <w:pPr>
        <w:pStyle w:val="20"/>
        <w:spacing w:before="0" w:after="0" w:line="520" w:lineRule="atLeast"/>
        <w:ind w:left="0" w:firstLineChars="200" w:firstLine="420"/>
        <w:rPr>
          <w:rFonts w:hAnsi="宋体"/>
          <w:color w:val="000000" w:themeColor="text1"/>
          <w:sz w:val="21"/>
          <w:szCs w:val="21"/>
        </w:rPr>
      </w:pPr>
      <w:r w:rsidRPr="00670326">
        <w:rPr>
          <w:rFonts w:hAnsi="宋体" w:hint="eastAsia"/>
          <w:color w:val="000000" w:themeColor="text1"/>
          <w:sz w:val="21"/>
          <w:szCs w:val="21"/>
        </w:rPr>
        <w:t>存续期间：持续经营</w:t>
      </w:r>
    </w:p>
    <w:p w14:paraId="6495DADD" w14:textId="77777777" w:rsidR="00670326" w:rsidRPr="00670326" w:rsidRDefault="00670326" w:rsidP="00670326">
      <w:pPr>
        <w:pStyle w:val="20"/>
        <w:spacing w:before="0" w:after="0" w:line="520" w:lineRule="atLeast"/>
        <w:ind w:left="0" w:firstLineChars="200" w:firstLine="420"/>
        <w:rPr>
          <w:rFonts w:hAnsi="宋体"/>
          <w:color w:val="000000" w:themeColor="text1"/>
          <w:sz w:val="21"/>
          <w:szCs w:val="21"/>
        </w:rPr>
      </w:pPr>
      <w:r w:rsidRPr="00670326">
        <w:rPr>
          <w:rFonts w:hAnsi="宋体" w:hint="eastAsia"/>
          <w:color w:val="000000" w:themeColor="text1"/>
          <w:sz w:val="21"/>
          <w:szCs w:val="21"/>
        </w:rPr>
        <w:t>批准设立文号：中华人民共和国国务院办公厅国办函[1987]14号</w:t>
      </w:r>
    </w:p>
    <w:p w14:paraId="63FA33B7" w14:textId="77777777" w:rsidR="00670326" w:rsidRPr="00670326" w:rsidRDefault="00670326" w:rsidP="00670326">
      <w:pPr>
        <w:pStyle w:val="20"/>
        <w:spacing w:before="0" w:after="0" w:line="520" w:lineRule="atLeast"/>
        <w:ind w:left="0" w:firstLineChars="200" w:firstLine="420"/>
        <w:rPr>
          <w:rFonts w:hAnsi="宋体"/>
          <w:color w:val="000000" w:themeColor="text1"/>
          <w:sz w:val="21"/>
          <w:szCs w:val="21"/>
        </w:rPr>
      </w:pPr>
      <w:r w:rsidRPr="00670326">
        <w:rPr>
          <w:rFonts w:hAnsi="宋体" w:hint="eastAsia"/>
          <w:color w:val="000000" w:themeColor="text1"/>
          <w:sz w:val="21"/>
          <w:szCs w:val="21"/>
        </w:rPr>
        <w:t>基金托管资格批文及文号：中国证监会证监基金字【2004】125号</w:t>
      </w:r>
    </w:p>
    <w:p w14:paraId="71B95744" w14:textId="1E3F8F5D" w:rsidR="00950499" w:rsidRPr="003A2857" w:rsidRDefault="005541ED" w:rsidP="00FB2E71">
      <w:pPr>
        <w:pStyle w:val="1"/>
        <w:spacing w:line="520" w:lineRule="atLeast"/>
        <w:ind w:firstLineChars="200" w:firstLine="422"/>
        <w:rPr>
          <w:bCs/>
          <w:color w:val="000000" w:themeColor="text1"/>
          <w:sz w:val="21"/>
          <w:szCs w:val="21"/>
        </w:rPr>
      </w:pPr>
      <w:bookmarkStart w:id="13" w:name="_Toc200545734"/>
      <w:r w:rsidRPr="003A2857">
        <w:rPr>
          <w:rFonts w:hint="eastAsia"/>
          <w:bCs/>
          <w:color w:val="000000" w:themeColor="text1"/>
          <w:sz w:val="21"/>
          <w:szCs w:val="21"/>
        </w:rPr>
        <w:t>第二条 本协议的依据、目的和原则</w:t>
      </w:r>
      <w:bookmarkEnd w:id="12"/>
      <w:bookmarkEnd w:id="13"/>
    </w:p>
    <w:p w14:paraId="6E55BDE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2.1本协议的依据</w:t>
      </w:r>
    </w:p>
    <w:p w14:paraId="6A62CD23" w14:textId="7807B85D"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订立本协议的依据是</w:t>
      </w:r>
      <w:r w:rsidR="00504BA3" w:rsidRPr="003A2857">
        <w:rPr>
          <w:rFonts w:hAnsi="宋体"/>
          <w:color w:val="000000" w:themeColor="text1"/>
          <w:sz w:val="21"/>
          <w:szCs w:val="21"/>
        </w:rPr>
        <w:t>《中华人民共和国</w:t>
      </w:r>
      <w:r w:rsidR="00504BA3" w:rsidRPr="003A2857">
        <w:rPr>
          <w:rFonts w:hAnsi="宋体" w:hint="eastAsia"/>
          <w:bCs/>
          <w:color w:val="000000" w:themeColor="text1"/>
          <w:sz w:val="21"/>
          <w:szCs w:val="21"/>
        </w:rPr>
        <w:t>民法典</w:t>
      </w:r>
      <w:r w:rsidR="00504BA3" w:rsidRPr="003A2857">
        <w:rPr>
          <w:rFonts w:hAnsi="宋体"/>
          <w:color w:val="000000" w:themeColor="text1"/>
          <w:sz w:val="21"/>
          <w:szCs w:val="21"/>
        </w:rPr>
        <w:t>》、</w:t>
      </w:r>
      <w:r w:rsidRPr="003A2857">
        <w:rPr>
          <w:rFonts w:hAnsi="宋体" w:hint="eastAsia"/>
          <w:color w:val="000000" w:themeColor="text1"/>
          <w:sz w:val="21"/>
          <w:szCs w:val="21"/>
        </w:rPr>
        <w:t>《中华人民共和国证券投资基金法》（以下简称“《基金法》”）、《公开募集证券投资基金运作管理办法》（以下简称“《运作办法》”）、《</w:t>
      </w:r>
      <w:r w:rsidR="00AA45A5" w:rsidRPr="003A2857">
        <w:rPr>
          <w:rFonts w:hAnsi="宋体" w:hint="eastAsia"/>
          <w:bCs/>
          <w:color w:val="000000" w:themeColor="text1"/>
          <w:sz w:val="21"/>
          <w:szCs w:val="21"/>
        </w:rPr>
        <w:t>公开募集</w:t>
      </w:r>
      <w:r w:rsidRPr="003A2857">
        <w:rPr>
          <w:rFonts w:hAnsi="宋体" w:hint="eastAsia"/>
          <w:color w:val="000000" w:themeColor="text1"/>
          <w:sz w:val="21"/>
          <w:szCs w:val="21"/>
        </w:rPr>
        <w:t>证券投资基金销售</w:t>
      </w:r>
      <w:r w:rsidR="00AA45A5" w:rsidRPr="003A2857">
        <w:rPr>
          <w:rFonts w:hAnsi="宋体" w:hint="eastAsia"/>
          <w:bCs/>
          <w:color w:val="000000" w:themeColor="text1"/>
          <w:sz w:val="21"/>
          <w:szCs w:val="21"/>
        </w:rPr>
        <w:t>机构监督</w:t>
      </w:r>
      <w:r w:rsidRPr="003A2857">
        <w:rPr>
          <w:rFonts w:hAnsi="宋体" w:hint="eastAsia"/>
          <w:color w:val="000000" w:themeColor="text1"/>
          <w:sz w:val="21"/>
          <w:szCs w:val="21"/>
        </w:rPr>
        <w:t>管理办法》、《公开</w:t>
      </w:r>
      <w:r w:rsidRPr="003A2857">
        <w:rPr>
          <w:rFonts w:hAnsi="宋体"/>
          <w:color w:val="000000" w:themeColor="text1"/>
          <w:sz w:val="21"/>
          <w:szCs w:val="21"/>
        </w:rPr>
        <w:t>募集</w:t>
      </w:r>
      <w:r w:rsidRPr="003A2857">
        <w:rPr>
          <w:rFonts w:hAnsi="宋体" w:hint="eastAsia"/>
          <w:color w:val="000000" w:themeColor="text1"/>
          <w:sz w:val="21"/>
          <w:szCs w:val="21"/>
        </w:rPr>
        <w:t>证券投资基金信息披露管理办</w:t>
      </w:r>
      <w:r w:rsidRPr="003A2857">
        <w:rPr>
          <w:rFonts w:hAnsi="宋体" w:hint="eastAsia"/>
          <w:color w:val="000000" w:themeColor="text1"/>
          <w:sz w:val="21"/>
          <w:szCs w:val="21"/>
        </w:rPr>
        <w:lastRenderedPageBreak/>
        <w:t>法》（以下简称“《信息披露办法》”）、</w:t>
      </w:r>
      <w:r w:rsidRPr="003A2857">
        <w:rPr>
          <w:rFonts w:hint="eastAsia"/>
          <w:bCs/>
          <w:color w:val="000000" w:themeColor="text1"/>
          <w:sz w:val="21"/>
          <w:szCs w:val="21"/>
        </w:rPr>
        <w:t>《公开募集开放式证券投资基金流动性风险管理规定》（以下简称“《</w:t>
      </w:r>
      <w:bookmarkStart w:id="14" w:name="OLE_LINK1"/>
      <w:bookmarkStart w:id="15" w:name="OLE_LINK2"/>
      <w:r w:rsidRPr="003A2857">
        <w:rPr>
          <w:rFonts w:hint="eastAsia"/>
          <w:bCs/>
          <w:color w:val="000000" w:themeColor="text1"/>
          <w:sz w:val="21"/>
          <w:szCs w:val="21"/>
        </w:rPr>
        <w:t>流动性风险管理规定</w:t>
      </w:r>
      <w:bookmarkEnd w:id="14"/>
      <w:bookmarkEnd w:id="15"/>
      <w:r w:rsidRPr="003A2857">
        <w:rPr>
          <w:rFonts w:hint="eastAsia"/>
          <w:bCs/>
          <w:color w:val="000000" w:themeColor="text1"/>
          <w:sz w:val="21"/>
          <w:szCs w:val="21"/>
        </w:rPr>
        <w:t>》”）、</w:t>
      </w:r>
      <w:r w:rsidRPr="003A2857">
        <w:rPr>
          <w:rFonts w:hAnsi="宋体" w:hint="eastAsia"/>
          <w:color w:val="000000" w:themeColor="text1"/>
          <w:sz w:val="21"/>
          <w:szCs w:val="21"/>
        </w:rPr>
        <w:t>《证券投资基金信息披露内容与格式准则第7号〈托管协议的内容与格式〉》、《</w:t>
      </w:r>
      <w:r w:rsidR="00670326">
        <w:rPr>
          <w:rFonts w:hAnsi="宋体" w:hint="eastAsia"/>
          <w:color w:val="000000" w:themeColor="text1"/>
          <w:sz w:val="21"/>
          <w:szCs w:val="21"/>
        </w:rPr>
        <w:t>华夏信选混合型证券投资基金</w:t>
      </w:r>
      <w:r w:rsidRPr="003A2857">
        <w:rPr>
          <w:rFonts w:hAnsi="宋体" w:hint="eastAsia"/>
          <w:color w:val="000000" w:themeColor="text1"/>
          <w:sz w:val="21"/>
          <w:szCs w:val="21"/>
        </w:rPr>
        <w:t>基金合同》（以下简称“基金合同”）及其他有关规定。</w:t>
      </w:r>
    </w:p>
    <w:p w14:paraId="6B64948C" w14:textId="77777777" w:rsidR="00950499" w:rsidRPr="003A2857" w:rsidRDefault="005541ED" w:rsidP="00FB2E71">
      <w:pPr>
        <w:pStyle w:val="20"/>
        <w:adjustRightInd w:val="0"/>
        <w:snapToGrid w:val="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2.2本协议的目的</w:t>
      </w:r>
    </w:p>
    <w:p w14:paraId="0CA3C117" w14:textId="77777777" w:rsidR="00950499" w:rsidRPr="003A2857" w:rsidRDefault="005541ED" w:rsidP="00FB2E71">
      <w:pPr>
        <w:pStyle w:val="20"/>
        <w:adjustRightInd w:val="0"/>
        <w:snapToGrid w:val="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订立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01333726" w14:textId="77777777" w:rsidR="00950499" w:rsidRPr="003A2857" w:rsidRDefault="005541ED" w:rsidP="00FB2E71">
      <w:pPr>
        <w:pStyle w:val="20"/>
        <w:adjustRightInd w:val="0"/>
        <w:snapToGrid w:val="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2.3本协议的原则</w:t>
      </w:r>
    </w:p>
    <w:p w14:paraId="24D74B3A" w14:textId="77777777" w:rsidR="00950499" w:rsidRPr="003A2857" w:rsidRDefault="005541ED" w:rsidP="00FB2E71">
      <w:pPr>
        <w:pStyle w:val="20"/>
        <w:adjustRightInd w:val="0"/>
        <w:snapToGrid w:val="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基金管理人和基金托管人本着平等自愿、诚实信用、充分保护基金份额持有人合法权益的原则，经协商一致，签订本协议。</w:t>
      </w:r>
    </w:p>
    <w:p w14:paraId="726DC02B" w14:textId="77777777" w:rsidR="00950499" w:rsidRPr="003A2857" w:rsidRDefault="005541ED" w:rsidP="00FB2E71">
      <w:pPr>
        <w:pStyle w:val="1"/>
        <w:adjustRightInd w:val="0"/>
        <w:spacing w:line="520" w:lineRule="atLeast"/>
        <w:ind w:firstLineChars="200" w:firstLine="422"/>
        <w:rPr>
          <w:bCs/>
          <w:color w:val="000000" w:themeColor="text1"/>
          <w:sz w:val="21"/>
          <w:szCs w:val="21"/>
        </w:rPr>
      </w:pPr>
      <w:bookmarkStart w:id="16" w:name="_Toc296551339"/>
      <w:bookmarkStart w:id="17" w:name="_Toc200545735"/>
      <w:r w:rsidRPr="003A2857">
        <w:rPr>
          <w:rFonts w:hint="eastAsia"/>
          <w:bCs/>
          <w:color w:val="000000" w:themeColor="text1"/>
          <w:sz w:val="21"/>
          <w:szCs w:val="21"/>
        </w:rPr>
        <w:t>第三条 基金托管人对基金管理人的业务监督和核查</w:t>
      </w:r>
      <w:bookmarkEnd w:id="16"/>
      <w:bookmarkEnd w:id="17"/>
    </w:p>
    <w:p w14:paraId="77721DA1" w14:textId="77777777" w:rsidR="00950499" w:rsidRPr="003A2857" w:rsidRDefault="005541ED" w:rsidP="00FB2E71">
      <w:pPr>
        <w:pStyle w:val="20"/>
        <w:adjustRightInd w:val="0"/>
        <w:snapToGrid w:val="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3.1基金托管人对基金管理人的投资行为行使监督权</w:t>
      </w:r>
    </w:p>
    <w:p w14:paraId="21946905" w14:textId="5B38B2EE" w:rsidR="00950499" w:rsidRPr="003A2857" w:rsidRDefault="005541ED" w:rsidP="002B5039">
      <w:pPr>
        <w:pStyle w:val="20"/>
        <w:adjustRightInd w:val="0"/>
        <w:snapToGrid w:val="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3.1.1基金托管人根据有关法律法规的规定和基金合同的约定，对下述基金投资范围、投资对象进行监督。本基金将投资于以下金融工具：</w:t>
      </w:r>
    </w:p>
    <w:p w14:paraId="58509355" w14:textId="77777777" w:rsidR="00670326" w:rsidRPr="00670326" w:rsidRDefault="00670326" w:rsidP="00670326">
      <w:pPr>
        <w:spacing w:line="520" w:lineRule="atLeast"/>
        <w:ind w:firstLine="480"/>
        <w:rPr>
          <w:rFonts w:ascii="宋体" w:hAnsi="宋体"/>
          <w:color w:val="000000" w:themeColor="text1"/>
          <w:szCs w:val="21"/>
        </w:rPr>
      </w:pPr>
      <w:r w:rsidRPr="00670326">
        <w:rPr>
          <w:rFonts w:ascii="宋体" w:hAnsi="宋体" w:hint="eastAsia"/>
          <w:color w:val="000000" w:themeColor="text1"/>
          <w:szCs w:val="21"/>
        </w:rPr>
        <w:t>本基金的投资范围为具有良好流动性的金融工具，包括国内依法发行或上市的股票(包括创业板、存托凭证及其他中国证监会注册或核准上市的股票)、港股通标的股票、债券(包括国内依法发行和上市交易的国债、央行票据、金融债券、企业债券、公司债券、中期票据、短期融资券、超短期融资券、公开发行的次级债券、政府支持机构债券、政府支持债券、地方政府债券、可转换债券、可交换债券及其他经中国证监会允许投资的债券)、衍生品（包括股指期货、国债期货、股票期权等）、资产支持证券、货币市场工具（含同业存单）、债券回购、银行存款以及法律法规或中国证监会允许基金投资的其他金融工具。</w:t>
      </w:r>
    </w:p>
    <w:p w14:paraId="26311805" w14:textId="77777777" w:rsidR="00670326" w:rsidRPr="00670326" w:rsidRDefault="00670326" w:rsidP="00670326">
      <w:pPr>
        <w:spacing w:line="520" w:lineRule="atLeast"/>
        <w:ind w:firstLine="480"/>
        <w:rPr>
          <w:rFonts w:ascii="宋体" w:hAnsi="宋体"/>
          <w:color w:val="000000" w:themeColor="text1"/>
          <w:szCs w:val="21"/>
        </w:rPr>
      </w:pPr>
      <w:r w:rsidRPr="00670326">
        <w:rPr>
          <w:rFonts w:ascii="宋体" w:hAnsi="宋体" w:hint="eastAsia"/>
          <w:color w:val="000000" w:themeColor="text1"/>
          <w:szCs w:val="21"/>
        </w:rPr>
        <w:t>本基金可根据相关法律法规和《基金合同》的约定，参与融资业务。</w:t>
      </w:r>
    </w:p>
    <w:p w14:paraId="4473401F" w14:textId="77777777" w:rsidR="00670326" w:rsidRPr="00670326" w:rsidRDefault="00670326" w:rsidP="00670326">
      <w:pPr>
        <w:spacing w:line="520" w:lineRule="atLeast"/>
        <w:ind w:firstLine="480"/>
        <w:rPr>
          <w:rFonts w:ascii="宋体" w:hAnsi="宋体"/>
          <w:color w:val="000000" w:themeColor="text1"/>
          <w:szCs w:val="21"/>
        </w:rPr>
      </w:pPr>
      <w:r w:rsidRPr="00670326">
        <w:rPr>
          <w:rFonts w:ascii="宋体" w:hAnsi="宋体" w:hint="eastAsia"/>
          <w:color w:val="000000" w:themeColor="text1"/>
          <w:szCs w:val="21"/>
        </w:rPr>
        <w:t>如法律法规或监管机构以后允许基金投资其他品种，基金管理人在履行适当程序后，可以将其纳入投资范围。</w:t>
      </w:r>
    </w:p>
    <w:p w14:paraId="146FC9F8" w14:textId="77777777" w:rsidR="00670326" w:rsidRPr="00670326" w:rsidRDefault="00670326" w:rsidP="00670326">
      <w:pPr>
        <w:spacing w:line="520" w:lineRule="atLeast"/>
        <w:ind w:firstLine="480"/>
        <w:rPr>
          <w:rFonts w:ascii="宋体" w:hAnsi="宋体"/>
          <w:color w:val="000000" w:themeColor="text1"/>
          <w:szCs w:val="21"/>
        </w:rPr>
      </w:pPr>
      <w:r w:rsidRPr="00670326">
        <w:rPr>
          <w:rFonts w:ascii="宋体" w:hAnsi="宋体" w:hint="eastAsia"/>
          <w:color w:val="000000" w:themeColor="text1"/>
          <w:szCs w:val="21"/>
        </w:rPr>
        <w:t>本基金的投资组合比例为：股票投资占基金资产的比例为60%-95%，港股通标的股票投</w:t>
      </w:r>
      <w:r w:rsidRPr="00670326">
        <w:rPr>
          <w:rFonts w:ascii="宋体" w:hAnsi="宋体" w:hint="eastAsia"/>
          <w:color w:val="000000" w:themeColor="text1"/>
          <w:szCs w:val="21"/>
        </w:rPr>
        <w:lastRenderedPageBreak/>
        <w:t>资占股票资产的比例为0-50%。每个交易日日终在扣除股指期货、国债期货、股票期权合约需缴纳的交易保证金后保持不低于基金资产净值5%的现金或者到期日在一年以内的政府债券。其中，现金不包括结算备付金、存出保证金、应收申购款等。</w:t>
      </w:r>
    </w:p>
    <w:p w14:paraId="40DC5540" w14:textId="1FA3E75E" w:rsidR="0051457F" w:rsidRPr="003A2857" w:rsidRDefault="00670326" w:rsidP="00670326">
      <w:pPr>
        <w:spacing w:line="520" w:lineRule="atLeast"/>
        <w:ind w:firstLine="480"/>
        <w:rPr>
          <w:rFonts w:ascii="宋体" w:hAnsi="宋体"/>
          <w:color w:val="000000" w:themeColor="text1"/>
          <w:szCs w:val="21"/>
        </w:rPr>
      </w:pPr>
      <w:r w:rsidRPr="00670326">
        <w:rPr>
          <w:rFonts w:ascii="宋体" w:hAnsi="宋体" w:hint="eastAsia"/>
          <w:color w:val="000000" w:themeColor="text1"/>
          <w:szCs w:val="21"/>
        </w:rPr>
        <w:t>如法律法规或中国证监会变更上述投资品种的比例限制，以变更后的比例为准，基金管理人在依法履行适当程序后，可对本基金的投资比例做相应调整。</w:t>
      </w:r>
    </w:p>
    <w:p w14:paraId="1AD94930" w14:textId="77777777" w:rsidR="00950499" w:rsidRPr="003A2857" w:rsidRDefault="005541ED">
      <w:pPr>
        <w:spacing w:line="520" w:lineRule="atLeast"/>
        <w:jc w:val="left"/>
        <w:rPr>
          <w:rFonts w:ascii="宋体" w:hAnsi="宋体"/>
          <w:color w:val="000000" w:themeColor="text1"/>
          <w:szCs w:val="21"/>
        </w:rPr>
      </w:pPr>
      <w:r w:rsidRPr="003A2857">
        <w:rPr>
          <w:rFonts w:ascii="宋体" w:hAnsi="宋体" w:hint="eastAsia"/>
          <w:color w:val="000000" w:themeColor="text1"/>
          <w:szCs w:val="21"/>
        </w:rPr>
        <w:t xml:space="preserve">    3.1.2基金托管人根据有关法律法规的规定及基金合同的约定对下述基金投融资比例进行监督：    </w:t>
      </w:r>
    </w:p>
    <w:p w14:paraId="29DE3BB7" w14:textId="2F90E334"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（1）本基金股票投资比例为基金资产的60%-95%，投资于港股通标的股票占股票资产的比例为0-50%。</w:t>
      </w:r>
    </w:p>
    <w:p w14:paraId="4DA5A5D9"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2）每个交易日日终在扣除股指期货、国债期货、股票期权合约需缴纳的交易保证金后，保持不低于基金资产净值5%的现金或者到期日在一年以内的政府债券。其中，现金不包括结算备付金、存出保证金、应收申购款等。</w:t>
      </w:r>
    </w:p>
    <w:p w14:paraId="66D8472A"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（3）本基金持有一家公司发行的证券（同一家公司在内地和香港同时上市的A+H股合计计算），其市值不超过基金资产净值的10%。</w:t>
      </w:r>
    </w:p>
    <w:p w14:paraId="122F09CD"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（4）本基金管理人管理的全部基金持有一家公司发行的证券（同一家公司在内地和香港同时上市的A+H股合计计算），不超过该证券的10%。</w:t>
      </w:r>
    </w:p>
    <w:p w14:paraId="3197B465"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（5）本基金管理人管理的全部开放式基金持有一家上市公司发行的可流通股票，不得超过该上市公司可流通股票的15%。</w:t>
      </w:r>
    </w:p>
    <w:p w14:paraId="23F06601"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（6）本基金管理人管理的全部投资组合持有一家上市公司发行的可流通股票，不得超过该上市公司可流通股票的30%。</w:t>
      </w:r>
    </w:p>
    <w:p w14:paraId="5885E9A3"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（7）本基金投资于同一原始权益人的各类资产支持证券的比例，不得超过基金资产净值的10%。</w:t>
      </w:r>
    </w:p>
    <w:p w14:paraId="2460F1AD"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（8）本基金持有的全部资产支持证券，其市值不得超过基金资产净值的20%。</w:t>
      </w:r>
    </w:p>
    <w:p w14:paraId="36243D0F"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（9）本基金持有的同一（指同一信用级别）资产支持证券的比例，不得超过该资产支持证券规模的10%。</w:t>
      </w:r>
    </w:p>
    <w:p w14:paraId="27473FAB"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（10）本基金管理人管理的全部基金投资于同一原始权益人的各类资产支持证券，不得</w:t>
      </w:r>
      <w:r w:rsidRPr="00670326">
        <w:rPr>
          <w:rFonts w:ascii="宋体" w:hAnsi="宋体" w:hint="eastAsia"/>
          <w:color w:val="000000" w:themeColor="text1"/>
          <w:szCs w:val="21"/>
        </w:rPr>
        <w:lastRenderedPageBreak/>
        <w:t>超过其各类资产支持证券合计规模的10%。</w:t>
      </w:r>
    </w:p>
    <w:p w14:paraId="73624714"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（11）本基金应投资于信用级别评级为BBB以上（含BBB）的资产支持证券。基金持有资产支持证券期间，如果其信用等级下降、不再符合投资标准，应在评级报告发布之日起3个月内予以全部卖出。</w:t>
      </w:r>
    </w:p>
    <w:p w14:paraId="1C4DC0CE"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（12）基金财产参与股票发行申购，本基金所申报的金额不超过本基金的总资产，本基金所申报的股票数量不超过拟发行股票公司本次发行股票的总量。</w:t>
      </w:r>
    </w:p>
    <w:p w14:paraId="6DEA6019"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（13）本基金资产总值不得超过基金资产净值的140%。</w:t>
      </w:r>
    </w:p>
    <w:p w14:paraId="537580F0"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14）基金在任何交易日日终，持有的买入股指期货合约价值，不得超过基金资产净值的10%；本基金在任何交易日日终，持有的卖出股指期货合约价值不得超过基金持有的股票总市值的20%；基金在任何交易日内交易（不包括平仓）的股指期货合约的成交金额不得超过上一交易日基金资产净值的20%；基金所持有的股票市值和买入、卖出股指期货合约价值，合计（轧差计算）应当符合基金合同关于股票投资比例的有关约定。</w:t>
      </w:r>
    </w:p>
    <w:p w14:paraId="5DE059B7"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15）基金在任何交易日日终，持有的买入国债期货合约价值，不得超过基金资产净值的15%；基金在任何交易日日终，持有的卖出国债期货合约价值不得超过基金持有的债券总市值的30%；基金在任何交易日内交易（不包括平仓）的国债期货合约的成交金额不得超过上一交易日基金资产净值的30%；基金所持有的债券（不含到期日在一年以内的政府债券）市值和买入、卖出国债期货合约价值，合计（轧差计算）应当符合基金合同关于债券投资比例的有关约定。</w:t>
      </w:r>
    </w:p>
    <w:p w14:paraId="02DEBC38"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16）本基金主动投资于流动性受限资产的市值合计不得超过该基金资产净值的15%。因证券市场波动、上市公司股票停牌、基金规模变动等基金管理人之外的因素致使基金不符合该比例限制的，基金管理人不得主动新增流动性受限资产的投资。</w:t>
      </w:r>
    </w:p>
    <w:p w14:paraId="35E751B0"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（17）本基金与私募类证券资管产品及中国证监会认定的其他主体为交易对手开展逆回购交易的，可接受质押品的资质要求应当与基金合同约定的投资范围保持一致。</w:t>
      </w:r>
    </w:p>
    <w:p w14:paraId="0635A044"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18）基金参与股指期货、国债期货交易，应当遵守下列要求：本基金在任何交易日日终，持有的买入期货合约价值与有价证券市值之和，不得超过基金资产净值的95%；其中，有价证券指股票、债券（不含到期日在一年以内的政府债券）、资产支持证券、买入返售金</w:t>
      </w:r>
      <w:r w:rsidRPr="00670326">
        <w:rPr>
          <w:rFonts w:ascii="宋体" w:hAnsi="宋体" w:hint="eastAsia"/>
          <w:color w:val="000000" w:themeColor="text1"/>
          <w:szCs w:val="21"/>
        </w:rPr>
        <w:lastRenderedPageBreak/>
        <w:t>融资产（不含质押式回购）等。</w:t>
      </w:r>
    </w:p>
    <w:p w14:paraId="5251F438"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19）基金因未平仓的期权合约支付和收取的权利金总额不得超过基金资产净值的10%；开仓卖出认购期权的，应持有足额标的证券；开仓卖出认沽期权的，应持有合约行权所需的全额现金或交易所规则认可的可冲抵期权保证金的现金等价物；未平仓的期权合约面值不得超过基金资产净值的20%。其中，合约面值按照行权价乘以合约乘数计算。</w:t>
      </w:r>
    </w:p>
    <w:p w14:paraId="2D12E5EE"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（20）基金参与融资业务后，在任何交易日日终，本基金持有的融资买入股票与其他有价证券市值之和，不得超过基金资产净值的95%。</w:t>
      </w:r>
    </w:p>
    <w:p w14:paraId="490BB048"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（21）本基金投资存托凭证的比例限制依照境内上市交易的股票执行，与境内上市交易的股票合并计算。</w:t>
      </w:r>
    </w:p>
    <w:p w14:paraId="6076854F"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（22）法律法规及中国证监会规定的和《基金合同》约定的其他投资限制。</w:t>
      </w:r>
    </w:p>
    <w:p w14:paraId="3DE508A8" w14:textId="77777777"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除上述（2）、（11）、（16）、（17）情形之外，因证券/期货市场波动、证券发行人合并、基金规模变动、港股通额度不足等基金管理人之外的因素致使基金投资比例不符合上述规定投资比例的，基金管理人应当在10个交易日内进行调整，但中国证监会规定的特殊情形除外。法律法规另有规定的，从其规定。</w:t>
      </w:r>
    </w:p>
    <w:p w14:paraId="1689F086" w14:textId="29354B13" w:rsidR="00670326" w:rsidRPr="00670326"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法律法规或监管部门另有规定的，从其规定。</w:t>
      </w:r>
    </w:p>
    <w:p w14:paraId="1A9920A3" w14:textId="44DCEFD7" w:rsidR="004D40A2" w:rsidRPr="003A2857" w:rsidRDefault="00670326" w:rsidP="00670326">
      <w:pPr>
        <w:spacing w:line="520" w:lineRule="atLeast"/>
        <w:ind w:firstLine="420"/>
        <w:rPr>
          <w:rFonts w:ascii="宋体" w:hAnsi="宋体"/>
          <w:color w:val="000000" w:themeColor="text1"/>
          <w:szCs w:val="21"/>
        </w:rPr>
      </w:pPr>
      <w:r w:rsidRPr="00670326">
        <w:rPr>
          <w:rFonts w:ascii="宋体" w:hAnsi="宋体" w:hint="eastAsia"/>
          <w:color w:val="000000" w:themeColor="text1"/>
          <w:szCs w:val="21"/>
        </w:rPr>
        <w:t>法律法规或监管部门取消或变更上述限制，如适用于本基金，基金管理人在履行适当程序后，则本基金投资不再受相关限制或以变更后的规定为准，自动遵守届时有效的法律法规或监管规定。</w:t>
      </w:r>
    </w:p>
    <w:p w14:paraId="7F85C854" w14:textId="77777777" w:rsidR="001C1BB5" w:rsidRPr="003A2857" w:rsidRDefault="001C1BB5" w:rsidP="001C1BB5">
      <w:pPr>
        <w:spacing w:line="520" w:lineRule="atLeast"/>
        <w:ind w:firstLine="420"/>
        <w:rPr>
          <w:rFonts w:ascii="宋体" w:hAnsi="宋体"/>
          <w:color w:val="000000" w:themeColor="text1"/>
          <w:szCs w:val="21"/>
        </w:rPr>
      </w:pPr>
      <w:r w:rsidRPr="003A2857">
        <w:rPr>
          <w:rFonts w:ascii="宋体" w:hAnsi="宋体"/>
          <w:color w:val="000000" w:themeColor="text1"/>
          <w:szCs w:val="21"/>
        </w:rPr>
        <w:t>侧袋机制实施期间，本部分约定的投资组合比例、组合限制等约定仅适用于主袋账户。</w:t>
      </w:r>
    </w:p>
    <w:p w14:paraId="5E38B5B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3.1.3基金托管人根据有关法律法规的规定及基金合同的约定对下述基金投资禁止行为进行监督：</w:t>
      </w:r>
    </w:p>
    <w:p w14:paraId="409F3BB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根据法律法规的规定及基金合同的约定，本基金禁止从事下列行为：</w:t>
      </w:r>
    </w:p>
    <w:p w14:paraId="23440DD5" w14:textId="77777777" w:rsidR="00670326" w:rsidRPr="002C52FA" w:rsidRDefault="00670326" w:rsidP="00670326">
      <w:pPr>
        <w:spacing w:line="360" w:lineRule="auto"/>
        <w:ind w:firstLine="420"/>
        <w:rPr>
          <w:bCs/>
          <w:szCs w:val="21"/>
        </w:rPr>
      </w:pPr>
      <w:r w:rsidRPr="002C52FA">
        <w:rPr>
          <w:bCs/>
          <w:szCs w:val="21"/>
        </w:rPr>
        <w:t>（</w:t>
      </w:r>
      <w:r w:rsidRPr="002C52FA">
        <w:rPr>
          <w:bCs/>
          <w:szCs w:val="21"/>
        </w:rPr>
        <w:t>1</w:t>
      </w:r>
      <w:r w:rsidRPr="002C52FA">
        <w:rPr>
          <w:bCs/>
          <w:szCs w:val="21"/>
        </w:rPr>
        <w:t>）承销证券。</w:t>
      </w:r>
    </w:p>
    <w:p w14:paraId="04D37A53" w14:textId="77777777" w:rsidR="00670326" w:rsidRPr="002C52FA" w:rsidRDefault="00670326" w:rsidP="00670326">
      <w:pPr>
        <w:spacing w:line="360" w:lineRule="auto"/>
        <w:ind w:firstLine="420"/>
        <w:rPr>
          <w:bCs/>
          <w:szCs w:val="21"/>
        </w:rPr>
      </w:pPr>
      <w:r w:rsidRPr="002C52FA">
        <w:rPr>
          <w:bCs/>
          <w:szCs w:val="21"/>
        </w:rPr>
        <w:t>（</w:t>
      </w:r>
      <w:r w:rsidRPr="002C52FA">
        <w:rPr>
          <w:bCs/>
          <w:szCs w:val="21"/>
        </w:rPr>
        <w:t>2</w:t>
      </w:r>
      <w:r w:rsidRPr="002C52FA">
        <w:rPr>
          <w:bCs/>
          <w:szCs w:val="21"/>
        </w:rPr>
        <w:t>）违反规定向他人贷款或者提供担保。</w:t>
      </w:r>
    </w:p>
    <w:p w14:paraId="400882BE" w14:textId="77777777" w:rsidR="00670326" w:rsidRPr="002C52FA" w:rsidRDefault="00670326" w:rsidP="00670326">
      <w:pPr>
        <w:spacing w:line="360" w:lineRule="auto"/>
        <w:ind w:firstLine="420"/>
        <w:rPr>
          <w:bCs/>
          <w:szCs w:val="21"/>
        </w:rPr>
      </w:pPr>
      <w:r w:rsidRPr="002C52FA">
        <w:rPr>
          <w:bCs/>
          <w:szCs w:val="21"/>
        </w:rPr>
        <w:lastRenderedPageBreak/>
        <w:t>（</w:t>
      </w:r>
      <w:r w:rsidRPr="002C52FA">
        <w:rPr>
          <w:bCs/>
          <w:szCs w:val="21"/>
        </w:rPr>
        <w:t>3</w:t>
      </w:r>
      <w:r w:rsidRPr="002C52FA">
        <w:rPr>
          <w:bCs/>
          <w:szCs w:val="21"/>
        </w:rPr>
        <w:t>）从事承担无限责任的投资。</w:t>
      </w:r>
    </w:p>
    <w:p w14:paraId="218C7C88" w14:textId="77777777" w:rsidR="00670326" w:rsidRPr="002C52FA" w:rsidRDefault="00670326" w:rsidP="00670326">
      <w:pPr>
        <w:spacing w:line="360" w:lineRule="auto"/>
        <w:ind w:firstLine="420"/>
      </w:pPr>
      <w:r w:rsidRPr="002C52FA">
        <w:rPr>
          <w:bCs/>
          <w:szCs w:val="21"/>
        </w:rPr>
        <w:t>（</w:t>
      </w:r>
      <w:r w:rsidRPr="002C52FA">
        <w:rPr>
          <w:bCs/>
          <w:szCs w:val="21"/>
        </w:rPr>
        <w:t>4</w:t>
      </w:r>
      <w:r w:rsidRPr="002C52FA">
        <w:rPr>
          <w:bCs/>
          <w:szCs w:val="21"/>
        </w:rPr>
        <w:t>）</w:t>
      </w:r>
      <w:r w:rsidRPr="002C52FA">
        <w:t>买卖其他基金份额，但是法律法规或中国证监会另有规定的除外。</w:t>
      </w:r>
    </w:p>
    <w:p w14:paraId="25922827" w14:textId="77777777" w:rsidR="00670326" w:rsidRPr="002C52FA" w:rsidRDefault="00670326" w:rsidP="00670326">
      <w:pPr>
        <w:spacing w:line="360" w:lineRule="auto"/>
        <w:ind w:firstLine="420"/>
        <w:rPr>
          <w:bCs/>
          <w:szCs w:val="21"/>
        </w:rPr>
      </w:pPr>
      <w:r w:rsidRPr="002C52FA">
        <w:t>（</w:t>
      </w:r>
      <w:r w:rsidRPr="002C52FA">
        <w:t>5</w:t>
      </w:r>
      <w:r w:rsidRPr="002C52FA">
        <w:t>）</w:t>
      </w:r>
      <w:r w:rsidRPr="002C52FA">
        <w:rPr>
          <w:bCs/>
          <w:szCs w:val="21"/>
        </w:rPr>
        <w:t>向其基金管理人、基金托管人出资。</w:t>
      </w:r>
    </w:p>
    <w:p w14:paraId="731B233A" w14:textId="77777777" w:rsidR="00670326" w:rsidRPr="002C52FA" w:rsidRDefault="00670326" w:rsidP="00670326">
      <w:pPr>
        <w:spacing w:line="360" w:lineRule="auto"/>
        <w:ind w:firstLine="420"/>
        <w:rPr>
          <w:bCs/>
          <w:szCs w:val="21"/>
        </w:rPr>
      </w:pPr>
      <w:r w:rsidRPr="002C52FA">
        <w:rPr>
          <w:bCs/>
          <w:szCs w:val="21"/>
        </w:rPr>
        <w:t>（</w:t>
      </w:r>
      <w:r w:rsidRPr="002C52FA">
        <w:rPr>
          <w:bCs/>
          <w:szCs w:val="21"/>
        </w:rPr>
        <w:t>6</w:t>
      </w:r>
      <w:r w:rsidRPr="002C52FA">
        <w:rPr>
          <w:bCs/>
          <w:szCs w:val="21"/>
        </w:rPr>
        <w:t>）从事内幕交易、操纵证券交易价格及其他不正当的证券交易活动。</w:t>
      </w:r>
    </w:p>
    <w:p w14:paraId="732357B6" w14:textId="77777777" w:rsidR="00670326" w:rsidRPr="002C52FA" w:rsidRDefault="00670326" w:rsidP="00670326">
      <w:pPr>
        <w:spacing w:line="360" w:lineRule="auto"/>
        <w:ind w:firstLine="420"/>
        <w:rPr>
          <w:bCs/>
          <w:szCs w:val="21"/>
        </w:rPr>
      </w:pPr>
      <w:r w:rsidRPr="002C52FA">
        <w:rPr>
          <w:bCs/>
          <w:szCs w:val="21"/>
        </w:rPr>
        <w:t>（</w:t>
      </w:r>
      <w:r w:rsidRPr="002C52FA">
        <w:rPr>
          <w:bCs/>
          <w:szCs w:val="21"/>
        </w:rPr>
        <w:t>7</w:t>
      </w:r>
      <w:r w:rsidRPr="002C52FA">
        <w:rPr>
          <w:bCs/>
          <w:szCs w:val="21"/>
        </w:rPr>
        <w:t>）法律、行政法规和中国证监会规定禁止的其他活动。</w:t>
      </w:r>
    </w:p>
    <w:p w14:paraId="0B81A0D8" w14:textId="58136FD0" w:rsidR="00950499" w:rsidRPr="003A2857" w:rsidRDefault="00670326" w:rsidP="00670326">
      <w:pPr>
        <w:pStyle w:val="20"/>
        <w:adjustRightInd w:val="0"/>
        <w:snapToGrid w:val="0"/>
        <w:spacing w:before="0" w:after="0" w:line="520" w:lineRule="atLeast"/>
        <w:ind w:left="0" w:firstLineChars="200" w:firstLine="420"/>
        <w:rPr>
          <w:rFonts w:hAnsi="宋体"/>
          <w:color w:val="000000" w:themeColor="text1"/>
          <w:sz w:val="21"/>
          <w:szCs w:val="21"/>
        </w:rPr>
      </w:pPr>
      <w:r w:rsidRPr="00C51E98">
        <w:rPr>
          <w:rFonts w:hAnsi="宋体" w:hint="eastAsia"/>
          <w:color w:val="000000" w:themeColor="text1"/>
          <w:sz w:val="21"/>
          <w:szCs w:val="21"/>
        </w:rPr>
        <w:t>法律法规或监管部门取消或变更上述禁止性规定的，如适用于本基金，</w:t>
      </w:r>
      <w:bookmarkStart w:id="18" w:name="_Hlk92649043"/>
      <w:r w:rsidRPr="00C51E98">
        <w:rPr>
          <w:rFonts w:hAnsi="宋体" w:hint="eastAsia"/>
          <w:color w:val="000000" w:themeColor="text1"/>
          <w:sz w:val="21"/>
          <w:szCs w:val="21"/>
        </w:rPr>
        <w:t>基金管理人在履行适当程序后，</w:t>
      </w:r>
      <w:bookmarkEnd w:id="18"/>
      <w:r w:rsidRPr="00C51E98">
        <w:rPr>
          <w:rFonts w:hAnsi="宋体" w:hint="eastAsia"/>
          <w:color w:val="000000" w:themeColor="text1"/>
          <w:sz w:val="21"/>
          <w:szCs w:val="21"/>
        </w:rPr>
        <w:t>则本基金投资不再受上述相关限制</w:t>
      </w:r>
      <w:bookmarkStart w:id="19" w:name="_Hlk92649052"/>
      <w:r w:rsidRPr="00C51E98">
        <w:rPr>
          <w:rFonts w:hAnsi="宋体" w:hint="eastAsia"/>
          <w:color w:val="000000" w:themeColor="text1"/>
          <w:sz w:val="21"/>
          <w:szCs w:val="21"/>
        </w:rPr>
        <w:t>或以变更后的规定为准</w:t>
      </w:r>
      <w:bookmarkEnd w:id="19"/>
      <w:r w:rsidRPr="00C51E98">
        <w:rPr>
          <w:rFonts w:hAnsi="宋体" w:hint="eastAsia"/>
          <w:color w:val="000000" w:themeColor="text1"/>
          <w:sz w:val="21"/>
          <w:szCs w:val="21"/>
        </w:rPr>
        <w:t>，自动遵守届时有效的法律法规或监管规定。</w:t>
      </w:r>
    </w:p>
    <w:p w14:paraId="070446B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3.1.4基金托管人依据有关法律法规的规定和基金合同的约定对于基金关联投资限制进行监督：</w:t>
      </w:r>
    </w:p>
    <w:p w14:paraId="4A191EC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0BE0198" w14:textId="3CD05E7A"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根据法律法规有关从事关联交易的规定，基金管理人和基金托管人应事先相互提供与本机构有控股关系的股东或与本机构有其他重大利害关系的公司名单及其更新，加盖公章并相互书面提交，并确保所提供名单的真实性、完整性、全面性。名单变更后基金管理人</w:t>
      </w:r>
      <w:r w:rsidR="00972E6B">
        <w:rPr>
          <w:rFonts w:hAnsi="宋体" w:hint="eastAsia"/>
          <w:color w:val="000000" w:themeColor="text1"/>
          <w:sz w:val="21"/>
          <w:szCs w:val="21"/>
        </w:rPr>
        <w:t>或</w:t>
      </w:r>
      <w:r w:rsidR="00972E6B" w:rsidRPr="003A2857">
        <w:rPr>
          <w:rFonts w:hAnsi="宋体" w:hint="eastAsia"/>
          <w:color w:val="000000" w:themeColor="text1"/>
          <w:sz w:val="21"/>
          <w:szCs w:val="21"/>
        </w:rPr>
        <w:t>基金托管人</w:t>
      </w:r>
      <w:r w:rsidRPr="003A2857">
        <w:rPr>
          <w:rFonts w:hAnsi="宋体" w:hint="eastAsia"/>
          <w:color w:val="000000" w:themeColor="text1"/>
          <w:sz w:val="21"/>
          <w:szCs w:val="21"/>
        </w:rPr>
        <w:t>应及时发送</w:t>
      </w:r>
      <w:r w:rsidR="00972E6B">
        <w:rPr>
          <w:rFonts w:hAnsi="宋体" w:hint="eastAsia"/>
          <w:color w:val="000000" w:themeColor="text1"/>
          <w:sz w:val="21"/>
          <w:szCs w:val="21"/>
        </w:rPr>
        <w:t>对方</w:t>
      </w:r>
      <w:r w:rsidRPr="003A2857">
        <w:rPr>
          <w:rFonts w:hAnsi="宋体" w:hint="eastAsia"/>
          <w:color w:val="000000" w:themeColor="text1"/>
          <w:sz w:val="21"/>
          <w:szCs w:val="21"/>
        </w:rPr>
        <w:t>，</w:t>
      </w:r>
      <w:r w:rsidR="00972E6B">
        <w:rPr>
          <w:rFonts w:hAnsi="宋体" w:hint="eastAsia"/>
          <w:color w:val="000000" w:themeColor="text1"/>
          <w:sz w:val="21"/>
          <w:szCs w:val="21"/>
        </w:rPr>
        <w:t>接收方应</w:t>
      </w:r>
      <w:r w:rsidRPr="003A2857">
        <w:rPr>
          <w:rFonts w:hAnsi="宋体" w:hint="eastAsia"/>
          <w:color w:val="000000" w:themeColor="text1"/>
          <w:sz w:val="21"/>
          <w:szCs w:val="21"/>
        </w:rPr>
        <w:t>于2个工作日内进行回函确认已知名单的变更。名单变更时间以</w:t>
      </w:r>
      <w:r w:rsidR="00972E6B">
        <w:rPr>
          <w:rFonts w:hAnsi="宋体" w:hint="eastAsia"/>
          <w:color w:val="000000" w:themeColor="text1"/>
          <w:sz w:val="21"/>
          <w:szCs w:val="21"/>
        </w:rPr>
        <w:t>发送方</w:t>
      </w:r>
      <w:r w:rsidRPr="003A2857">
        <w:rPr>
          <w:rFonts w:hAnsi="宋体" w:hint="eastAsia"/>
          <w:color w:val="000000" w:themeColor="text1"/>
          <w:sz w:val="21"/>
          <w:szCs w:val="21"/>
        </w:rPr>
        <w:t>收到</w:t>
      </w:r>
      <w:r w:rsidR="00972E6B">
        <w:rPr>
          <w:rFonts w:hAnsi="宋体" w:hint="eastAsia"/>
          <w:color w:val="000000" w:themeColor="text1"/>
          <w:sz w:val="21"/>
          <w:szCs w:val="21"/>
        </w:rPr>
        <w:t>接收方</w:t>
      </w:r>
      <w:r w:rsidRPr="003A2857">
        <w:rPr>
          <w:rFonts w:hAnsi="宋体" w:hint="eastAsia"/>
          <w:color w:val="000000" w:themeColor="text1"/>
          <w:sz w:val="21"/>
          <w:szCs w:val="21"/>
        </w:rPr>
        <w:t>回函确认的时间为准。如果基金托管人在运作中严格遵循了监督流程，基金管理人仍违规进行交易，并造成基金资产损失的，由基金管理人承担责任，基金托管人不承担</w:t>
      </w:r>
      <w:r w:rsidR="00972E6B">
        <w:rPr>
          <w:rFonts w:hAnsi="宋体" w:hint="eastAsia"/>
          <w:color w:val="000000" w:themeColor="text1"/>
          <w:sz w:val="21"/>
          <w:szCs w:val="21"/>
        </w:rPr>
        <w:t>相应</w:t>
      </w:r>
      <w:r w:rsidRPr="003A2857">
        <w:rPr>
          <w:rFonts w:hAnsi="宋体" w:hint="eastAsia"/>
          <w:color w:val="000000" w:themeColor="text1"/>
          <w:sz w:val="21"/>
          <w:szCs w:val="21"/>
        </w:rPr>
        <w:t>损失和责任。</w:t>
      </w:r>
    </w:p>
    <w:p w14:paraId="54500D7E"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若基金托管人发现基金管理人与关联方进行法律法规禁止基金从事的交易时，基金托管人应及时提醒并协助基金管理人采取必要措施阻止该交易的发生，若基金托管人采取必要措施后仍无法阻止该交易发生时，基金托管人有权向中国证监会报告，由此造成的损失和责任</w:t>
      </w:r>
      <w:r w:rsidRPr="003A2857">
        <w:rPr>
          <w:rFonts w:hAnsi="宋体" w:hint="eastAsia"/>
          <w:color w:val="000000" w:themeColor="text1"/>
          <w:sz w:val="21"/>
          <w:szCs w:val="21"/>
        </w:rPr>
        <w:lastRenderedPageBreak/>
        <w:t>由基金管理人承担。对于交易所场内已成交的违规交易，基金托管人应按相关法律法规和交易所规则的规定进行结算，同时向中国证监会报告，基金托管人不承担由此造成的损失和责任。</w:t>
      </w:r>
    </w:p>
    <w:p w14:paraId="1E227C7B"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3.1.5基金托管人依据有关法律法规的规定和基金合同的约定对基金管理人参与银行间债券市场进行监督：</w:t>
      </w:r>
    </w:p>
    <w:p w14:paraId="2C0E4F2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（1）基金托管人对于基金管理人参与银行间债券市场交易时是否按交易对手名单进行交易进行监督。</w:t>
      </w:r>
    </w:p>
    <w:p w14:paraId="3BFE73A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管理人应定期或不定期对银行间债券市场现券及回购交易对手的名单进行更新，名单中增加或减少银行间债券市场交易对手时须及时通知基金托管人，基金托管人于2个工作日内回函确认收到后，对名单进行更新。基金管理人收到基金托管人书面确认后，被确认调整的名单开始生效，新名单生效前已与本次剔除的交易对手所进行但尚未结算的交易，仍应按照双方原定协议进行结算。</w:t>
      </w:r>
    </w:p>
    <w:p w14:paraId="2BA80FF5" w14:textId="62FB5225"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如果基金托管人发现基金管理人与不在名单内的银行间债券市场交易对手进行交易，应及时提醒基金管理人撤销交易，</w:t>
      </w:r>
      <w:r w:rsidRPr="003A2857">
        <w:rPr>
          <w:rFonts w:hAnsi="宋体" w:hint="eastAsia"/>
          <w:b/>
          <w:bCs/>
          <w:color w:val="000000" w:themeColor="text1"/>
          <w:sz w:val="21"/>
          <w:szCs w:val="21"/>
        </w:rPr>
        <w:t>经提醒后基金管理人仍执行交易并造成基金资产损失的，基金托管人不承担</w:t>
      </w:r>
      <w:r w:rsidR="00972E6B">
        <w:rPr>
          <w:rFonts w:hAnsi="宋体" w:hint="eastAsia"/>
          <w:b/>
          <w:bCs/>
          <w:color w:val="000000" w:themeColor="text1"/>
          <w:sz w:val="21"/>
          <w:szCs w:val="21"/>
        </w:rPr>
        <w:t>相应</w:t>
      </w:r>
      <w:r w:rsidRPr="003A2857">
        <w:rPr>
          <w:rFonts w:hAnsi="宋体" w:hint="eastAsia"/>
          <w:b/>
          <w:bCs/>
          <w:color w:val="000000" w:themeColor="text1"/>
          <w:sz w:val="21"/>
          <w:szCs w:val="21"/>
        </w:rPr>
        <w:t>责任。</w:t>
      </w:r>
    </w:p>
    <w:p w14:paraId="6979039E"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（2）基金托管人对于基金管理人参与银行间债券市场交易的交易方式的控制</w:t>
      </w:r>
    </w:p>
    <w:p w14:paraId="628CA787" w14:textId="77777777" w:rsidR="00950499" w:rsidRPr="003A2857" w:rsidRDefault="005541ED" w:rsidP="00FB2E71">
      <w:pPr>
        <w:pStyle w:val="20"/>
        <w:spacing w:before="0" w:after="0" w:line="520" w:lineRule="atLeast"/>
        <w:ind w:left="0" w:firstLineChars="200" w:firstLine="420"/>
        <w:rPr>
          <w:rFonts w:hAnsi="宋体"/>
          <w:b/>
          <w:bCs/>
          <w:color w:val="000000" w:themeColor="text1"/>
          <w:sz w:val="21"/>
          <w:szCs w:val="21"/>
        </w:rPr>
      </w:pPr>
      <w:r w:rsidRPr="003A2857">
        <w:rPr>
          <w:rFonts w:hAnsi="宋体" w:hint="eastAsia"/>
          <w:color w:val="000000" w:themeColor="text1"/>
          <w:sz w:val="21"/>
          <w:szCs w:val="21"/>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w:t>
      </w:r>
      <w:r w:rsidRPr="003A2857">
        <w:rPr>
          <w:rFonts w:hAnsi="宋体" w:hint="eastAsia"/>
          <w:b/>
          <w:bCs/>
          <w:color w:val="000000" w:themeColor="text1"/>
          <w:sz w:val="21"/>
          <w:szCs w:val="21"/>
        </w:rPr>
        <w:t>经提醒后仍未改正并造成基金资产损失的，基金托管人不承担责任。</w:t>
      </w:r>
    </w:p>
    <w:p w14:paraId="4903CBC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（3）基金管理人有责任控制交易对手的资信风险。</w:t>
      </w:r>
    </w:p>
    <w:p w14:paraId="31AE1E36" w14:textId="20C5417E"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w:t>
      </w:r>
      <w:r w:rsidRPr="003A2857">
        <w:rPr>
          <w:rFonts w:hAnsi="宋体"/>
          <w:color w:val="000000" w:themeColor="text1"/>
          <w:sz w:val="21"/>
          <w:szCs w:val="21"/>
        </w:rPr>
        <w:t>管理人</w:t>
      </w:r>
      <w:r w:rsidRPr="003A2857">
        <w:rPr>
          <w:rFonts w:hAnsi="宋体" w:hint="eastAsia"/>
          <w:color w:val="000000" w:themeColor="text1"/>
          <w:sz w:val="21"/>
          <w:szCs w:val="21"/>
        </w:rPr>
        <w:t>按银行间债券市场的交易规则进行交易，并负责</w:t>
      </w:r>
      <w:r w:rsidR="00972E6B">
        <w:rPr>
          <w:rFonts w:hAnsi="宋体"/>
          <w:color w:val="000000" w:themeColor="text1"/>
          <w:sz w:val="21"/>
          <w:szCs w:val="21"/>
        </w:rPr>
        <w:t>处理</w:t>
      </w:r>
      <w:r w:rsidRPr="003A2857">
        <w:rPr>
          <w:rFonts w:hAnsi="宋体" w:hint="eastAsia"/>
          <w:color w:val="000000" w:themeColor="text1"/>
          <w:sz w:val="21"/>
          <w:szCs w:val="21"/>
        </w:rPr>
        <w:t>因交易对手不履行合同</w:t>
      </w:r>
      <w:r w:rsidRPr="003A2857">
        <w:rPr>
          <w:rFonts w:hAnsi="宋体" w:hint="eastAsia"/>
          <w:color w:val="000000" w:themeColor="text1"/>
          <w:sz w:val="21"/>
          <w:szCs w:val="21"/>
        </w:rPr>
        <w:lastRenderedPageBreak/>
        <w:t>而造成的纠纷。若未履约的交易对手在基金管理人确定的时间内仍未承担违约责任及其他相关法律责任的，基金管理人</w:t>
      </w:r>
      <w:r w:rsidR="004A3B61" w:rsidRPr="003A2857">
        <w:rPr>
          <w:rFonts w:hAnsi="宋体" w:hint="eastAsia"/>
          <w:color w:val="000000" w:themeColor="text1"/>
          <w:sz w:val="21"/>
          <w:szCs w:val="21"/>
        </w:rPr>
        <w:t>应</w:t>
      </w:r>
      <w:r w:rsidRPr="003A2857">
        <w:rPr>
          <w:rFonts w:hAnsi="宋体" w:hint="eastAsia"/>
          <w:color w:val="000000" w:themeColor="text1"/>
          <w:sz w:val="21"/>
          <w:szCs w:val="21"/>
        </w:rPr>
        <w:t>向相关交易对手追偿</w:t>
      </w:r>
      <w:r w:rsidR="00972E6B" w:rsidRPr="00972E6B">
        <w:rPr>
          <w:rFonts w:hAnsi="宋体" w:hint="eastAsia"/>
          <w:color w:val="000000" w:themeColor="text1"/>
          <w:sz w:val="21"/>
          <w:szCs w:val="21"/>
        </w:rPr>
        <w:t>，基金托管人应予以必要的协助</w:t>
      </w:r>
      <w:r w:rsidRPr="003A2857">
        <w:rPr>
          <w:rFonts w:hAnsi="宋体" w:hint="eastAsia"/>
          <w:color w:val="000000" w:themeColor="text1"/>
          <w:sz w:val="21"/>
          <w:szCs w:val="21"/>
        </w:rPr>
        <w:t>。</w:t>
      </w:r>
    </w:p>
    <w:p w14:paraId="7FC9D3EE"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3.1.6基金托管人对基金投资流通受限证券的监督：</w:t>
      </w:r>
    </w:p>
    <w:p w14:paraId="7CD45B40" w14:textId="041CA9CD"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基金投资流通受限证券，应遵守有关法律法规规定。流通受限证券指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79BDA7F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7BE0FF4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14:paraId="01AF07B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14:paraId="32C7A9C2" w14:textId="5AAACA5A"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基金托管人应对基金管理人是否遵守法律法规、投资决策流程、风险控制制度情况进行监督，并审核基金管理人提供的有关书面信息。基金托管人认为上述资料不符合法律法规、投资决策流程、风险控制制度的，有权要求基金管理人在投资流通受限证券前就以上事项进行调整，否则，基金托管人有权拒绝执行有关指令</w:t>
      </w:r>
      <w:r w:rsidR="00972E6B" w:rsidRPr="00972E6B">
        <w:rPr>
          <w:rFonts w:hAnsi="宋体" w:hint="eastAsia"/>
          <w:color w:val="000000" w:themeColor="text1"/>
          <w:sz w:val="21"/>
          <w:szCs w:val="21"/>
        </w:rPr>
        <w:t>，但应及时告知基金管理人</w:t>
      </w:r>
      <w:r w:rsidRPr="003A2857">
        <w:rPr>
          <w:rFonts w:hAnsi="宋体" w:hint="eastAsia"/>
          <w:color w:val="000000" w:themeColor="text1"/>
          <w:sz w:val="21"/>
          <w:szCs w:val="21"/>
        </w:rPr>
        <w:t>。因拒绝执行该指令造成基金财产损失的，基金托管人不承担</w:t>
      </w:r>
      <w:r w:rsidR="00972E6B">
        <w:rPr>
          <w:rFonts w:hAnsi="宋体" w:hint="eastAsia"/>
          <w:color w:val="000000" w:themeColor="text1"/>
          <w:sz w:val="21"/>
          <w:szCs w:val="21"/>
        </w:rPr>
        <w:t>相应</w:t>
      </w:r>
      <w:r w:rsidRPr="003A2857">
        <w:rPr>
          <w:rFonts w:hAnsi="宋体" w:hint="eastAsia"/>
          <w:color w:val="000000" w:themeColor="text1"/>
          <w:sz w:val="21"/>
          <w:szCs w:val="21"/>
        </w:rPr>
        <w:t>责任，并有权报告中国证监会。</w:t>
      </w:r>
    </w:p>
    <w:p w14:paraId="30C84CC0" w14:textId="6521D754"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如基金管理人和基金托管人无法达成一致，应及时上报中国证监会请求解决。如果基金托管人切实履行监督职责，则不承担</w:t>
      </w:r>
      <w:r w:rsidR="00972E6B">
        <w:rPr>
          <w:rFonts w:hAnsi="宋体"/>
          <w:color w:val="000000" w:themeColor="text1"/>
          <w:sz w:val="21"/>
          <w:szCs w:val="21"/>
        </w:rPr>
        <w:t>相应</w:t>
      </w:r>
      <w:r w:rsidRPr="003A2857">
        <w:rPr>
          <w:rFonts w:hAnsi="宋体" w:hint="eastAsia"/>
          <w:color w:val="000000" w:themeColor="text1"/>
          <w:sz w:val="21"/>
          <w:szCs w:val="21"/>
        </w:rPr>
        <w:t>责任。如果基金托管人没有切实履行监督职责，导致基金出现风险，基金托管人应承担相应责任。</w:t>
      </w:r>
    </w:p>
    <w:p w14:paraId="0F3520FE" w14:textId="77777777" w:rsidR="00950499" w:rsidRPr="003A2857" w:rsidRDefault="005541ED">
      <w:pPr>
        <w:pStyle w:val="20"/>
        <w:spacing w:before="0" w:after="0" w:line="520" w:lineRule="atLeast"/>
        <w:rPr>
          <w:rFonts w:hAnsi="宋体"/>
          <w:color w:val="000000" w:themeColor="text1"/>
          <w:sz w:val="21"/>
          <w:szCs w:val="21"/>
        </w:rPr>
      </w:pPr>
      <w:r w:rsidRPr="003A2857">
        <w:rPr>
          <w:rFonts w:hAnsi="宋体" w:hint="eastAsia"/>
          <w:color w:val="000000" w:themeColor="text1"/>
          <w:sz w:val="21"/>
          <w:szCs w:val="21"/>
        </w:rPr>
        <w:t>3.1.</w:t>
      </w:r>
      <w:r w:rsidRPr="003A2857">
        <w:rPr>
          <w:rFonts w:hAnsi="宋体"/>
          <w:color w:val="000000" w:themeColor="text1"/>
          <w:sz w:val="21"/>
          <w:szCs w:val="21"/>
        </w:rPr>
        <w:t>7</w:t>
      </w:r>
      <w:r w:rsidRPr="003A2857">
        <w:rPr>
          <w:rFonts w:hAnsi="宋体" w:hint="eastAsia"/>
          <w:color w:val="000000" w:themeColor="text1"/>
          <w:sz w:val="21"/>
          <w:szCs w:val="21"/>
        </w:rPr>
        <w:t>基金托管人对基金投资中期票据的监督：</w:t>
      </w:r>
    </w:p>
    <w:p w14:paraId="043F6F7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lastRenderedPageBreak/>
        <w:t>（1）基金管理人管理的基金在投资中期票据前，基金管理人须根据法律、法规、监管部门的规定，制定严格的关于投资中期票据的风险控制制度和流动性风险处置预案，并书面提供给基金托管人，基金托管人依据上述文件对基金管理人投资中期票据的额度和比例进行监督。</w:t>
      </w:r>
    </w:p>
    <w:p w14:paraId="10A2FA4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（2）如未来有关监管部门发布的法律法规对证券投资基金投资中期票据另有规定的，从其规定。</w:t>
      </w:r>
    </w:p>
    <w:p w14:paraId="57672591" w14:textId="5E4E9C49"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基金托管人有权监督基金管理人在相关基金投资中期票据时的法律法规遵守情况，有关制度、信用风险、流动性风险处置预案的完善情况，有关额度、比例限制的执行情况。基金托管人发现基金管理人的上述事项违反法律法规的</w:t>
      </w:r>
      <w:r w:rsidRPr="003A2857">
        <w:rPr>
          <w:rFonts w:hAnsi="宋体"/>
          <w:color w:val="000000" w:themeColor="text1"/>
          <w:sz w:val="21"/>
          <w:szCs w:val="21"/>
        </w:rPr>
        <w:t>规定</w:t>
      </w:r>
      <w:r w:rsidRPr="003A2857">
        <w:rPr>
          <w:rFonts w:hAnsi="宋体" w:hint="eastAsia"/>
          <w:color w:val="000000" w:themeColor="text1"/>
          <w:sz w:val="21"/>
          <w:szCs w:val="21"/>
        </w:rPr>
        <w:t>和基金合同以及本协议的约定，应及时以书面形式通知基金管理人限期纠正。基金管理人应积极配合和协助基金托管人的监督和核查。基金管理人应按本协议要求向基金托管人及时发出回函，并及时改正。基金托管人有权随时对所通知事项进行复查,督促基金管理人改正。如果基金管理人违规事项未能在限期内纠正的，基金托管人应报告中国证监会。基金托管人不承担由此造成的</w:t>
      </w:r>
      <w:r w:rsidR="00972E6B">
        <w:rPr>
          <w:rFonts w:hAnsi="宋体"/>
          <w:color w:val="000000" w:themeColor="text1"/>
          <w:sz w:val="21"/>
          <w:szCs w:val="21"/>
        </w:rPr>
        <w:t>相应</w:t>
      </w:r>
      <w:r w:rsidRPr="003A2857">
        <w:rPr>
          <w:rFonts w:hAnsi="宋体" w:hint="eastAsia"/>
          <w:color w:val="000000" w:themeColor="text1"/>
          <w:sz w:val="21"/>
          <w:szCs w:val="21"/>
        </w:rPr>
        <w:t>损失和责任。</w:t>
      </w:r>
    </w:p>
    <w:p w14:paraId="2B190DF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3.1.</w:t>
      </w:r>
      <w:r w:rsidR="004A3B61" w:rsidRPr="003A2857">
        <w:rPr>
          <w:rFonts w:hAnsi="宋体"/>
          <w:color w:val="000000" w:themeColor="text1"/>
          <w:sz w:val="21"/>
          <w:szCs w:val="21"/>
        </w:rPr>
        <w:t>8</w:t>
      </w:r>
      <w:r w:rsidRPr="003A2857">
        <w:rPr>
          <w:rFonts w:hAnsi="宋体" w:hint="eastAsia"/>
          <w:color w:val="000000" w:themeColor="text1"/>
          <w:sz w:val="21"/>
          <w:szCs w:val="21"/>
        </w:rPr>
        <w:t>基金托管人根据有关法律法规的规定及基金合同的约定，对基金管理人选择存款银行进行监督：</w:t>
      </w:r>
    </w:p>
    <w:p w14:paraId="7B3A3C02"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041D132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本基金投资银行存款应符合如下规定：</w:t>
      </w:r>
    </w:p>
    <w:p w14:paraId="6A74DE3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（1）基金管理人、基金托管人应当与存款银行建立定期对账机制，确保基金银行存款业务账目及核算的真实、准确。</w:t>
      </w:r>
    </w:p>
    <w:p w14:paraId="207EBBE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38FB5C6B"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lastRenderedPageBreak/>
        <w:t>（3）基金托管人应对基金银行存款业务进行监督与核查，审查、复核相关协议、账户资料、投资指令、存款证实书等有关文件，履行托管职责。</w:t>
      </w:r>
    </w:p>
    <w:p w14:paraId="1E1543F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（4）基金管理人与基金托管人在开展基金存款业务时，应严格遵守《基金法》、《运作办法》等有关法律法规，以及国家有关账户管理、利率管理、支付结算等的各项规定。</w:t>
      </w:r>
    </w:p>
    <w:p w14:paraId="30DE6049" w14:textId="77777777" w:rsidR="00CD735B" w:rsidRPr="003A2857" w:rsidRDefault="00CD735B" w:rsidP="00FB2E71">
      <w:pPr>
        <w:pStyle w:val="20"/>
        <w:spacing w:before="0" w:after="0" w:line="520" w:lineRule="atLeast"/>
        <w:ind w:left="0" w:firstLineChars="200" w:firstLine="420"/>
        <w:rPr>
          <w:rFonts w:hAnsi="宋体"/>
          <w:color w:val="000000" w:themeColor="text1"/>
          <w:sz w:val="21"/>
          <w:szCs w:val="21"/>
        </w:rPr>
      </w:pPr>
      <w:r w:rsidRPr="003A2857">
        <w:rPr>
          <w:rFonts w:hAnsi="宋体"/>
          <w:color w:val="000000" w:themeColor="text1"/>
          <w:sz w:val="21"/>
          <w:szCs w:val="21"/>
        </w:rPr>
        <w:t>3.1.</w:t>
      </w:r>
      <w:r w:rsidR="004A3B61" w:rsidRPr="003A2857">
        <w:rPr>
          <w:rFonts w:hAnsi="宋体"/>
          <w:color w:val="000000" w:themeColor="text1"/>
          <w:sz w:val="21"/>
          <w:szCs w:val="21"/>
        </w:rPr>
        <w:t>9</w:t>
      </w:r>
      <w:r w:rsidRPr="003A2857">
        <w:rPr>
          <w:rFonts w:hAnsi="宋体"/>
          <w:color w:val="000000" w:themeColor="text1"/>
          <w:sz w:val="21"/>
          <w:szCs w:val="21"/>
        </w:rPr>
        <w:t>基金托管人应当依照法律法规和基金合同约定，加强对侧袋机制启用、特定资产处置和信息披露等方面的复核和监督。</w:t>
      </w:r>
    </w:p>
    <w:p w14:paraId="5E209168" w14:textId="77777777" w:rsidR="00FA31EA" w:rsidRPr="003A2857" w:rsidRDefault="00CD735B" w:rsidP="00FB2E71">
      <w:pPr>
        <w:pStyle w:val="20"/>
        <w:spacing w:before="0" w:after="0" w:line="520" w:lineRule="atLeast"/>
        <w:ind w:left="0" w:firstLineChars="200" w:firstLine="420"/>
        <w:rPr>
          <w:rFonts w:hAnsi="宋体"/>
          <w:color w:val="000000" w:themeColor="text1"/>
          <w:sz w:val="21"/>
          <w:szCs w:val="21"/>
        </w:rPr>
      </w:pPr>
      <w:r w:rsidRPr="003A2857">
        <w:rPr>
          <w:rFonts w:hAnsi="宋体"/>
          <w:color w:val="000000" w:themeColor="text1"/>
          <w:sz w:val="21"/>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2277282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3.2基金托管人对基金管理人业务进行监督和核查的有关措施：</w:t>
      </w:r>
    </w:p>
    <w:p w14:paraId="504C7D84" w14:textId="42ABD4F2"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3.2.1基金托管人应根据有关法律法规的规定及基金合同的约定，对基金资产净值计算、</w:t>
      </w:r>
      <w:r w:rsidR="00972E6B">
        <w:rPr>
          <w:rFonts w:hAnsi="宋体" w:hint="eastAsia"/>
          <w:color w:val="000000" w:themeColor="text1"/>
          <w:sz w:val="21"/>
          <w:szCs w:val="21"/>
        </w:rPr>
        <w:t>各类</w:t>
      </w:r>
      <w:r w:rsidRPr="003A2857">
        <w:rPr>
          <w:rFonts w:hAnsi="宋体" w:hint="eastAsia"/>
          <w:color w:val="000000" w:themeColor="text1"/>
          <w:sz w:val="21"/>
          <w:szCs w:val="21"/>
        </w:rPr>
        <w:t>基金份额净值计算、应收资金到账、基金费用开支及收入确定、基金收益分配、相关信息披露、基金宣传推介材料中登载基金业绩表现数据等进行监督和核查。</w:t>
      </w:r>
    </w:p>
    <w:p w14:paraId="21781BE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3.2.2基金托管人发现基金管理人的投资运作及其他运作违反《基金法》、基金合同、本托管协议及其他有关规定时，应及时以书面形式通知基金管理人限期纠正，基金管理人收到通知后应在下一个工作日及时核对，并以书面形式向基金托管人发出回函，进行解释或举证。</w:t>
      </w:r>
    </w:p>
    <w:p w14:paraId="17D241E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3.2.3在限期内，基金托管人有权随时对通知事项进行复查，督促基金管理人改正。基金管理人对基金托管人通知的违规事项未能在限期内纠正的，基金托管人应报告中国证监会。</w:t>
      </w:r>
    </w:p>
    <w:p w14:paraId="78383454" w14:textId="7C129D6E"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3.2.4基金托管人发现基金管理人的投资指令违反</w:t>
      </w:r>
      <w:r w:rsidR="00972E6B">
        <w:rPr>
          <w:rFonts w:hAnsi="宋体" w:hint="eastAsia"/>
          <w:color w:val="000000" w:themeColor="text1"/>
          <w:sz w:val="21"/>
          <w:szCs w:val="21"/>
        </w:rPr>
        <w:t>相</w:t>
      </w:r>
      <w:r w:rsidRPr="003A2857">
        <w:rPr>
          <w:rFonts w:hAnsi="宋体" w:hint="eastAsia"/>
          <w:color w:val="000000" w:themeColor="text1"/>
          <w:sz w:val="21"/>
          <w:szCs w:val="21"/>
        </w:rPr>
        <w:t>关法律法规规定或者违反基金合同约定的，应当拒绝执行，立即通知基金管理人。</w:t>
      </w:r>
    </w:p>
    <w:p w14:paraId="1F3C77C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3.2.5基金托管人发现基金管理人依据交易程序已经生效的投资指令违反法律、行政法规和其他有关规定，或者违反基金合同约定的，应当立即通知基金管理人，并及时向中国证监会报告，基金管理人应依法承担相应责任。</w:t>
      </w:r>
    </w:p>
    <w:p w14:paraId="6DCC9B8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3.2.6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5D789D9B"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lastRenderedPageBreak/>
        <w:t>3.2.7基金托管人发现基金管理人有重大违规行为，应立即报告中国证监会，同时通知基金管理人限期纠正。</w:t>
      </w:r>
    </w:p>
    <w:p w14:paraId="7743296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3.2.8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66997744" w14:textId="13F4DA35"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3.2.9基金托管人对投资收益不承担审核责任，不保证托管财产投资不受损失，不保证最低收益。</w:t>
      </w:r>
    </w:p>
    <w:p w14:paraId="288153EE" w14:textId="018BEE54"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w:t>
      </w:r>
      <w:r w:rsidRPr="003A2857">
        <w:rPr>
          <w:rFonts w:hAnsi="宋体"/>
          <w:color w:val="000000" w:themeColor="text1"/>
          <w:sz w:val="21"/>
          <w:szCs w:val="21"/>
        </w:rPr>
        <w:t>.2.10</w:t>
      </w:r>
      <w:r w:rsidRPr="003A2857">
        <w:rPr>
          <w:rFonts w:hAnsi="宋体" w:hint="eastAsia"/>
          <w:color w:val="000000" w:themeColor="text1"/>
          <w:sz w:val="21"/>
          <w:szCs w:val="21"/>
        </w:rPr>
        <w:t>基金管理人</w:t>
      </w:r>
      <w:r w:rsidR="00972E6B">
        <w:rPr>
          <w:rFonts w:hAnsi="宋体" w:hint="eastAsia"/>
          <w:color w:val="000000" w:themeColor="text1"/>
          <w:sz w:val="21"/>
          <w:szCs w:val="21"/>
        </w:rPr>
        <w:t>及基金托管人</w:t>
      </w:r>
      <w:r w:rsidRPr="003A2857">
        <w:rPr>
          <w:rFonts w:hAnsi="宋体" w:hint="eastAsia"/>
          <w:color w:val="000000" w:themeColor="text1"/>
          <w:sz w:val="21"/>
          <w:szCs w:val="21"/>
        </w:rPr>
        <w:t>应遵守中华人民共和国反洗钱法律法规，不参与涉嫌洗钱、恐怖融资、扩散融资等违法犯罪活动；</w:t>
      </w:r>
      <w:r w:rsidR="009C26D3">
        <w:rPr>
          <w:rFonts w:hAnsi="宋体" w:hint="eastAsia"/>
          <w:color w:val="000000" w:themeColor="text1"/>
          <w:sz w:val="21"/>
          <w:szCs w:val="21"/>
        </w:rPr>
        <w:t>基金管理人应</w:t>
      </w:r>
      <w:r w:rsidRPr="003A2857">
        <w:rPr>
          <w:rFonts w:hAnsi="宋体" w:hint="eastAsia"/>
          <w:color w:val="000000" w:themeColor="text1"/>
          <w:sz w:val="21"/>
          <w:szCs w:val="21"/>
        </w:rPr>
        <w:t>主动配合基金托管人客户身份识别与尽职调查，提供真实、准确、完整客户资料，遵守基金托管人反洗钱与反恐怖融资相关管理规定。对具备合理理由怀疑涉嫌洗钱、恐怖融资的客户，基金托管人将按照中国人民银行反洗钱监管规定采取必要管控措施。</w:t>
      </w:r>
    </w:p>
    <w:p w14:paraId="047D9E57" w14:textId="77777777" w:rsidR="00950499" w:rsidRPr="003A2857" w:rsidRDefault="005541ED" w:rsidP="00FB2E71">
      <w:pPr>
        <w:pStyle w:val="1"/>
        <w:spacing w:line="520" w:lineRule="atLeast"/>
        <w:ind w:firstLineChars="200" w:firstLine="422"/>
        <w:rPr>
          <w:bCs/>
          <w:color w:val="000000" w:themeColor="text1"/>
          <w:sz w:val="21"/>
          <w:szCs w:val="21"/>
        </w:rPr>
      </w:pPr>
      <w:bookmarkStart w:id="20" w:name="_Toc296551340"/>
      <w:bookmarkStart w:id="21" w:name="_Toc200545736"/>
      <w:r w:rsidRPr="003A2857">
        <w:rPr>
          <w:rFonts w:hint="eastAsia"/>
          <w:bCs/>
          <w:color w:val="000000" w:themeColor="text1"/>
          <w:sz w:val="21"/>
          <w:szCs w:val="21"/>
        </w:rPr>
        <w:t>第四条 基金管理人对基金托管人的业务核查</w:t>
      </w:r>
      <w:bookmarkEnd w:id="20"/>
      <w:bookmarkEnd w:id="21"/>
    </w:p>
    <w:p w14:paraId="6230310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4.1基金管理人对基金托管人履行托管职责情况进行核查，核查事项包括但不限于基金托管人安全保管基金财产、开设基金财产的资金账户和证券账户等投资所需的其他账户、复核基金管理人计算的基金资产净值和</w:t>
      </w:r>
      <w:r w:rsidR="00552CE9" w:rsidRPr="003A2857">
        <w:rPr>
          <w:rFonts w:hAnsi="宋体" w:hint="eastAsia"/>
          <w:color w:val="000000" w:themeColor="text1"/>
          <w:sz w:val="21"/>
          <w:szCs w:val="21"/>
        </w:rPr>
        <w:t>各类</w:t>
      </w:r>
      <w:r w:rsidRPr="003A2857">
        <w:rPr>
          <w:rFonts w:hAnsi="宋体" w:hint="eastAsia"/>
          <w:color w:val="000000" w:themeColor="text1"/>
          <w:sz w:val="21"/>
          <w:szCs w:val="21"/>
        </w:rPr>
        <w:t>基金份额净值、根据基金管理人指令办理清算交收、相关信息披露和监督基金投资运作等行为。</w:t>
      </w:r>
    </w:p>
    <w:p w14:paraId="6DD5563E"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4.2基金管理人发现基金托管人擅自挪用基金财产、未对基金财产实行分账管理、无故拒绝执行或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或未在合理期限内确认的，基金管理人应报告中国证监会。</w:t>
      </w:r>
    </w:p>
    <w:p w14:paraId="2C5A890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4.3基金管理人发现基金托管人有重大违规行为，应立即报告中国证监会和银行业监督管理机构，同时通知基金托管人限期纠正。</w:t>
      </w:r>
    </w:p>
    <w:p w14:paraId="284798CD" w14:textId="22498C2F"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lastRenderedPageBreak/>
        <w:t>4.4基金托管人应积极配合基金管理人的核查行为，包括但不限于：提交相关资料以供基金管理人核查托管财产的完整性和真实性，在规定时间内答复基金管理人并改正。</w:t>
      </w:r>
      <w:r w:rsidR="00972E6B" w:rsidRPr="00972E6B">
        <w:rPr>
          <w:rFonts w:hAnsi="宋体" w:hint="eastAsia"/>
          <w:color w:val="000000" w:themeColor="text1"/>
          <w:sz w:val="21"/>
          <w:szCs w:val="21"/>
        </w:rPr>
        <w:t>基金托管人应就基金管理人合理的疑义进行解释。</w:t>
      </w:r>
    </w:p>
    <w:p w14:paraId="5DBDC05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4.5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5388E1EF" w14:textId="77777777" w:rsidR="00950499" w:rsidRPr="003A2857" w:rsidRDefault="005541ED" w:rsidP="00FB2E71">
      <w:pPr>
        <w:pStyle w:val="1"/>
        <w:spacing w:line="520" w:lineRule="atLeast"/>
        <w:ind w:firstLineChars="200" w:firstLine="422"/>
        <w:rPr>
          <w:bCs/>
          <w:color w:val="000000" w:themeColor="text1"/>
          <w:sz w:val="21"/>
          <w:szCs w:val="21"/>
        </w:rPr>
      </w:pPr>
      <w:bookmarkStart w:id="22" w:name="_Toc296551341"/>
      <w:bookmarkStart w:id="23" w:name="_Toc200545737"/>
      <w:r w:rsidRPr="003A2857">
        <w:rPr>
          <w:rFonts w:hint="eastAsia"/>
          <w:bCs/>
          <w:color w:val="000000" w:themeColor="text1"/>
          <w:sz w:val="21"/>
          <w:szCs w:val="21"/>
        </w:rPr>
        <w:t>第五条 基金财产保管</w:t>
      </w:r>
      <w:bookmarkEnd w:id="22"/>
      <w:bookmarkEnd w:id="23"/>
    </w:p>
    <w:p w14:paraId="4550723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5.1基金财产保管的原则</w:t>
      </w:r>
    </w:p>
    <w:p w14:paraId="3A3B0432"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5.1.1基金财产应独立于基金管理人、基金托管人的固有财产。</w:t>
      </w:r>
    </w:p>
    <w:p w14:paraId="051CC5F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5.1.2基金托管人应安全保管基金财产。除依据法律法规规定、基金合同和本托管协议约定及基金管理人的正当指令外，不得自行运用、处分、分配基金的任何财产。</w:t>
      </w:r>
    </w:p>
    <w:p w14:paraId="3BE23E8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5.1.3基金托管人按照规定开设基金财产的资金账户和证券账户等投资所需的其他账户。</w:t>
      </w:r>
    </w:p>
    <w:p w14:paraId="7184F58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5.1.4基金托管人对所托管的不同基金财产分别设置账户，与基金托管人的其他业务和其他基金的托管业务实行严格的分账管理，确保基金财产的完整与独立。</w:t>
      </w:r>
    </w:p>
    <w:p w14:paraId="14CB9F3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5.1.5基金托管人根据基金管理人的指令，按照基金合同和本协议的约定保管基金财产，如有特殊情况双方可另行协商解决。</w:t>
      </w:r>
    </w:p>
    <w:p w14:paraId="62A71DB3" w14:textId="10A68B8D" w:rsidR="00950499"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5.1.6除依据法律法规和基金合同的规定外，基金托管人不得委托第三人托管基金资产。</w:t>
      </w:r>
    </w:p>
    <w:p w14:paraId="60445738" w14:textId="66D4912D" w:rsidR="00BD1EA5" w:rsidRPr="003A2857" w:rsidRDefault="00BD1EA5" w:rsidP="00FB2E71">
      <w:pPr>
        <w:pStyle w:val="20"/>
        <w:spacing w:before="0" w:after="0" w:line="520" w:lineRule="atLeast"/>
        <w:ind w:left="0" w:firstLineChars="200" w:firstLine="420"/>
        <w:rPr>
          <w:rFonts w:hAnsi="宋体"/>
          <w:color w:val="000000" w:themeColor="text1"/>
          <w:sz w:val="21"/>
          <w:szCs w:val="21"/>
        </w:rPr>
      </w:pPr>
      <w:r>
        <w:rPr>
          <w:rFonts w:hAnsi="宋体" w:hint="eastAsia"/>
          <w:color w:val="000000" w:themeColor="text1"/>
          <w:sz w:val="21"/>
          <w:szCs w:val="21"/>
        </w:rPr>
        <w:t>5</w:t>
      </w:r>
      <w:r>
        <w:rPr>
          <w:rFonts w:hAnsi="宋体"/>
          <w:color w:val="000000" w:themeColor="text1"/>
          <w:sz w:val="21"/>
          <w:szCs w:val="21"/>
        </w:rPr>
        <w:t>.1.7</w:t>
      </w:r>
      <w:r w:rsidRPr="00BD1EA5">
        <w:rPr>
          <w:rFonts w:hAnsi="宋体" w:hint="eastAsia"/>
          <w:color w:val="000000" w:themeColor="text1"/>
          <w:sz w:val="21"/>
          <w:szCs w:val="21"/>
        </w:rPr>
        <w:t>基金托管人仅对托管专户内的基金财产承担托管职责，对于该账户之外的财产或已从该托管专户支付出去的财产的损失不承担任何责任。</w:t>
      </w:r>
    </w:p>
    <w:p w14:paraId="402B426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5.2募集资金的验资</w:t>
      </w:r>
    </w:p>
    <w:p w14:paraId="569E61B9" w14:textId="3363D289" w:rsidR="00950499" w:rsidRPr="003A2857" w:rsidRDefault="005541ED" w:rsidP="00FB2E71">
      <w:pPr>
        <w:pStyle w:val="CharCharCharCharCharCharChar"/>
        <w:adjustRightInd/>
        <w:spacing w:line="520" w:lineRule="atLeast"/>
        <w:ind w:firstLineChars="200" w:firstLine="420"/>
        <w:rPr>
          <w:rFonts w:hAnsi="宋体"/>
          <w:color w:val="000000" w:themeColor="text1"/>
          <w:sz w:val="21"/>
          <w:szCs w:val="21"/>
        </w:rPr>
      </w:pPr>
      <w:r w:rsidRPr="003A2857">
        <w:rPr>
          <w:rFonts w:ascii="宋体" w:hAnsi="宋体" w:hint="eastAsia"/>
          <w:color w:val="000000" w:themeColor="text1"/>
          <w:sz w:val="21"/>
          <w:szCs w:val="21"/>
        </w:rPr>
        <w:t>5.2.1基金募集期间募集的资金应存于基金管理人在基金托管人的营业机构或在其他银行开立的基金募集专户，该账户由基金管理人委托的登记机构开立并管理。</w:t>
      </w:r>
    </w:p>
    <w:p w14:paraId="1517D1E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5.2.2基金募集期满或基金提前结束募集时，募集的基金份额总额、基金募集金额、基金份额持有人人数符合《基金法》、《运作办法》等有关规定后，基金管理人应将募集的属于本基金财产的全部资金划入基金托管人为本基金开立的托管专户中，基金托管人在收到资金</w:t>
      </w:r>
      <w:r w:rsidRPr="003A2857">
        <w:rPr>
          <w:rFonts w:hAnsi="宋体" w:hint="eastAsia"/>
          <w:color w:val="000000" w:themeColor="text1"/>
          <w:sz w:val="21"/>
          <w:szCs w:val="21"/>
        </w:rPr>
        <w:lastRenderedPageBreak/>
        <w:t>当日出具确认文件。同时，基金管理人应聘请具备相关业务资质的会计师事务所进行验资，出具验资报告，出具的验资报告应由参加验资的2名以上（含2名）中国注册会计师签字有效。</w:t>
      </w:r>
    </w:p>
    <w:p w14:paraId="4DDD0ACC" w14:textId="557FFC1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5.2.3若基金募集期限届满，未能达到基金备案条件，由基金管理人按规定办理退款事宜</w:t>
      </w:r>
      <w:r w:rsidR="009C26D3" w:rsidRPr="009C26D3">
        <w:rPr>
          <w:rFonts w:hAnsi="宋体" w:hint="eastAsia"/>
          <w:color w:val="000000" w:themeColor="text1"/>
          <w:sz w:val="21"/>
          <w:szCs w:val="21"/>
        </w:rPr>
        <w:t>，基金托管人应提供充分协助</w:t>
      </w:r>
      <w:r w:rsidRPr="003A2857">
        <w:rPr>
          <w:rFonts w:hAnsi="宋体" w:hint="eastAsia"/>
          <w:color w:val="000000" w:themeColor="text1"/>
          <w:sz w:val="21"/>
          <w:szCs w:val="21"/>
        </w:rPr>
        <w:t>。</w:t>
      </w:r>
    </w:p>
    <w:p w14:paraId="33F4199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5.3基金的银行账户的开立和管理</w:t>
      </w:r>
    </w:p>
    <w:p w14:paraId="368580E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5.3.1基金托管人以本基金的名义在其营业机构开立基金的银行账户，并根据基金管理人合法合规的指令办理资金收付。本基金的银行预留印鉴由基金托管人刻制、保管和使用。</w:t>
      </w:r>
    </w:p>
    <w:p w14:paraId="3AAF04B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5.3.2基金银行账户的开立和使用，限于满足开展本基金业务的需要。基金托管人和基金管理人不得假借本基金的名义开立任何其他银行账户；亦不得使用基金的任何账户进行本基金业务以外的活动。</w:t>
      </w:r>
    </w:p>
    <w:p w14:paraId="6754E8C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5.3.3基金银行账户的开立和管理应符合有关法律法规以及银行业监督管理机构的有关规定。</w:t>
      </w:r>
    </w:p>
    <w:p w14:paraId="3F72DD4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5.4基金证券账户与证券交易资金账户的开设和管理</w:t>
      </w:r>
    </w:p>
    <w:p w14:paraId="349FD578" w14:textId="09ECBDB5"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5.4.1基金托管人以基金托管人和本基金联名的方式在中国证券登记结算有限责任公司（以下简称“中登公司”）开设证券账户。</w:t>
      </w:r>
    </w:p>
    <w:p w14:paraId="72CD2CEA" w14:textId="4576AC0D"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5.4.2基金托管人以基金托管人的名义在中登公司开立基金证券交易资金账户，用于证券清算。</w:t>
      </w:r>
    </w:p>
    <w:p w14:paraId="4441026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5.4.3基金证券账户与证券交易资金账户的开立和使用，限于满足开展本基金业务的需要。基金托管人和基金管理人不得出借和未经对方同意擅自转让基金的任何证券账户或证券交易资金账户；亦不得使用基金的任何账户进行本基金业务以外的活动。</w:t>
      </w:r>
    </w:p>
    <w:p w14:paraId="0D06B4FE"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5.4.4基金证券账户与证券交易资金账户相关证明文件的保管由基金托管人负责，账户资产的管理和运用由基金管理人负责。</w:t>
      </w:r>
    </w:p>
    <w:p w14:paraId="555A19E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5.5债券托管账户的开立和管理</w:t>
      </w:r>
    </w:p>
    <w:p w14:paraId="7C9FFA5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5.5.1基金合同生效后，基金管理人负责以基金的名义申请并取得进入全国银行间同业拆借市场的交易资格，并代表基金进行交易；基金托管人负责以基金的名义在中央国债登记</w:t>
      </w:r>
      <w:r w:rsidRPr="003A2857">
        <w:rPr>
          <w:rFonts w:hAnsi="宋体" w:hint="eastAsia"/>
          <w:color w:val="000000" w:themeColor="text1"/>
          <w:sz w:val="21"/>
          <w:szCs w:val="21"/>
        </w:rPr>
        <w:lastRenderedPageBreak/>
        <w:t>结算有限责任公司和银行间市场清算所股份有限公司开设银行间债券市场债券托管账户，并由基金托管人负责基金的债券的后台匹配及资金的清算。</w:t>
      </w:r>
    </w:p>
    <w:p w14:paraId="2053FCD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5.5.2基金管理人和基金托管人应一起负责为基金对外签订全国银行间国债市场回购主协议，正本由基金管理人保存。</w:t>
      </w:r>
    </w:p>
    <w:p w14:paraId="51180CD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5.6其他账户的开设和管理</w:t>
      </w:r>
    </w:p>
    <w:p w14:paraId="22B15F3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在本托管协议生效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099D681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5.7基金财产投资的有关实物证券、银行定期存款存单等有价凭证的保管</w:t>
      </w:r>
    </w:p>
    <w:p w14:paraId="76AE0D6B" w14:textId="7B55D12B"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财产投资的有关实物证券由基金托管人存放于基金托管人的保管库；其中实物证券也可存入中央国债登记结算有限责任公司、中登公司、银行间市场清算所股份有限公司或票据营业中心的代保管库。实物证券的购买和转让，由基金托管人根据基金管理人的指令办理。属于基金托管人控制下的实物证券在基金托管人保管期间</w:t>
      </w:r>
      <w:r w:rsidR="00BD1EA5" w:rsidRPr="00BD1EA5">
        <w:rPr>
          <w:rFonts w:hAnsi="宋体" w:hint="eastAsia"/>
          <w:color w:val="000000" w:themeColor="text1"/>
          <w:sz w:val="21"/>
          <w:szCs w:val="21"/>
        </w:rPr>
        <w:t>因基金托管人故意或重大过失导致</w:t>
      </w:r>
      <w:r w:rsidRPr="003A2857">
        <w:rPr>
          <w:rFonts w:hAnsi="宋体" w:hint="eastAsia"/>
          <w:color w:val="000000" w:themeColor="text1"/>
          <w:sz w:val="21"/>
          <w:szCs w:val="21"/>
        </w:rPr>
        <w:t>的损坏、灭失，由此产生的责任应由基金托管人承担。基金托管人对基金托管人以外机构实际有效控制的证券不承担保管责任。</w:t>
      </w:r>
    </w:p>
    <w:p w14:paraId="0E45B96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5.8与基金财产有关的重大合同的保管</w:t>
      </w:r>
    </w:p>
    <w:p w14:paraId="23E5B3A7" w14:textId="154B38E5"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w:t>
      </w:r>
      <w:r w:rsidR="00670326" w:rsidRPr="00202812">
        <w:rPr>
          <w:rFonts w:ascii="Times New Roman" w:eastAsiaTheme="minorEastAsia" w:hint="eastAsia"/>
          <w:sz w:val="21"/>
          <w:szCs w:val="21"/>
        </w:rPr>
        <w:t>重大</w:t>
      </w:r>
      <w:r w:rsidR="00670326" w:rsidRPr="00670326">
        <w:rPr>
          <w:rFonts w:ascii="Times New Roman" w:hint="eastAsia"/>
          <w:sz w:val="21"/>
        </w:rPr>
        <w:t>合同</w:t>
      </w:r>
      <w:r w:rsidR="00670326" w:rsidRPr="00202812">
        <w:rPr>
          <w:rFonts w:ascii="Times New Roman" w:eastAsiaTheme="minorEastAsia" w:hint="eastAsia"/>
          <w:sz w:val="21"/>
          <w:szCs w:val="21"/>
        </w:rPr>
        <w:t>由</w:t>
      </w:r>
      <w:r w:rsidR="00670326" w:rsidRPr="00670326">
        <w:rPr>
          <w:rFonts w:ascii="Times New Roman" w:hint="eastAsia"/>
          <w:sz w:val="21"/>
        </w:rPr>
        <w:t>基金管理人</w:t>
      </w:r>
      <w:r w:rsidR="00670326" w:rsidRPr="00202812">
        <w:rPr>
          <w:rFonts w:ascii="Times New Roman" w:eastAsiaTheme="minorEastAsia" w:hint="eastAsia"/>
          <w:sz w:val="21"/>
          <w:szCs w:val="21"/>
        </w:rPr>
        <w:t>与</w:t>
      </w:r>
      <w:r w:rsidR="00670326" w:rsidRPr="00670326">
        <w:rPr>
          <w:rFonts w:ascii="Times New Roman" w:hint="eastAsia"/>
          <w:sz w:val="21"/>
        </w:rPr>
        <w:t>基金托管人</w:t>
      </w:r>
      <w:r w:rsidR="00670326" w:rsidRPr="00202812">
        <w:rPr>
          <w:rFonts w:ascii="Times New Roman" w:eastAsiaTheme="minorEastAsia" w:hint="eastAsia"/>
          <w:sz w:val="21"/>
          <w:szCs w:val="21"/>
        </w:rPr>
        <w:t>按规定各自保管</w:t>
      </w:r>
      <w:r w:rsidR="00670326" w:rsidRPr="00202812">
        <w:rPr>
          <w:rFonts w:ascii="Times New Roman" w:eastAsiaTheme="minorEastAsia"/>
          <w:sz w:val="21"/>
          <w:szCs w:val="21"/>
        </w:rPr>
        <w:t xml:space="preserve">, </w:t>
      </w:r>
      <w:r w:rsidR="00670326" w:rsidRPr="00202812">
        <w:rPr>
          <w:rFonts w:ascii="Times New Roman" w:eastAsiaTheme="minorEastAsia" w:hint="eastAsia"/>
          <w:sz w:val="21"/>
          <w:szCs w:val="21"/>
        </w:rPr>
        <w:t>保管</w:t>
      </w:r>
      <w:r w:rsidR="00670326" w:rsidRPr="00670326">
        <w:rPr>
          <w:rFonts w:ascii="Times New Roman" w:hint="eastAsia"/>
          <w:sz w:val="21"/>
        </w:rPr>
        <w:t>期限</w:t>
      </w:r>
      <w:r w:rsidR="00670326" w:rsidRPr="00202812">
        <w:rPr>
          <w:rFonts w:ascii="Times New Roman" w:eastAsiaTheme="minorEastAsia" w:hint="eastAsia"/>
          <w:sz w:val="21"/>
          <w:szCs w:val="21"/>
        </w:rPr>
        <w:t>不低于</w:t>
      </w:r>
      <w:r w:rsidR="00670326" w:rsidRPr="00670326">
        <w:rPr>
          <w:rFonts w:ascii="Times New Roman" w:hint="eastAsia"/>
          <w:sz w:val="21"/>
        </w:rPr>
        <w:t>法律法规规定的</w:t>
      </w:r>
      <w:r w:rsidR="00670326" w:rsidRPr="00202812">
        <w:rPr>
          <w:rFonts w:ascii="Times New Roman" w:eastAsiaTheme="minorEastAsia" w:hint="eastAsia"/>
          <w:sz w:val="21"/>
          <w:szCs w:val="21"/>
        </w:rPr>
        <w:t>最低期限</w:t>
      </w:r>
      <w:r w:rsidR="00670326" w:rsidRPr="00670326">
        <w:rPr>
          <w:rFonts w:ascii="Times New Roman" w:hint="eastAsia"/>
          <w:sz w:val="21"/>
        </w:rPr>
        <w:t>。</w:t>
      </w:r>
      <w:r w:rsidRPr="003A2857">
        <w:rPr>
          <w:rFonts w:hAnsi="宋体" w:hint="eastAsia"/>
          <w:color w:val="000000" w:themeColor="text1"/>
          <w:sz w:val="21"/>
          <w:szCs w:val="21"/>
        </w:rPr>
        <w:t>对于无法取得二份以上的正本的，基金管理人应向基金托管人提供加盖授权业务章的合同传真件，未经双方协商或未在合同约定范围内，合同原件不得转移，由基金管理人保管。</w:t>
      </w:r>
    </w:p>
    <w:p w14:paraId="3E29D959" w14:textId="77777777" w:rsidR="00950499" w:rsidRPr="003A2857" w:rsidRDefault="005541ED" w:rsidP="00FB2E71">
      <w:pPr>
        <w:pStyle w:val="1"/>
        <w:spacing w:line="520" w:lineRule="atLeast"/>
        <w:ind w:firstLineChars="200" w:firstLine="422"/>
        <w:rPr>
          <w:bCs/>
          <w:color w:val="000000" w:themeColor="text1"/>
          <w:sz w:val="21"/>
          <w:szCs w:val="21"/>
        </w:rPr>
      </w:pPr>
      <w:bookmarkStart w:id="24" w:name="_Toc296551342"/>
      <w:bookmarkStart w:id="25" w:name="_Toc200545738"/>
      <w:r w:rsidRPr="003A2857">
        <w:rPr>
          <w:rFonts w:hint="eastAsia"/>
          <w:bCs/>
          <w:color w:val="000000" w:themeColor="text1"/>
          <w:sz w:val="21"/>
          <w:szCs w:val="21"/>
        </w:rPr>
        <w:t>第六条 指令的发送、确认和执行</w:t>
      </w:r>
      <w:bookmarkEnd w:id="24"/>
      <w:bookmarkEnd w:id="25"/>
    </w:p>
    <w:p w14:paraId="6683F05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6.1基金管理人对发送指令人员的书面授权</w:t>
      </w:r>
    </w:p>
    <w:p w14:paraId="6EA81E9B" w14:textId="6B80CACE"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lastRenderedPageBreak/>
        <w:t>基金管理人应事先向基金托管人提供书面授权通知（以下称“授权通知”），指定有权发送指令的人员（以下称“被授权人”）名单、预留印鉴和被授权人签章样本，注明相应的交易权限，并规定基金管理人向基金托管人发送指令时基金托管人确认被授权人身份的方法。授权通知应加盖基金管理人公章。</w:t>
      </w:r>
      <w:r w:rsidR="002D0533" w:rsidRPr="002D0533">
        <w:rPr>
          <w:rFonts w:hAnsi="宋体" w:hint="eastAsia"/>
          <w:color w:val="000000" w:themeColor="text1"/>
          <w:sz w:val="21"/>
          <w:szCs w:val="21"/>
        </w:rPr>
        <w:t>基金管理人向基金托管人发出的授权通知应加盖基金管理人公章，并由基金管理人法定代表人或其授权代表签章（签字或加盖名章），如为授权代表签章，还应附上法定代表人的授权委托书。</w:t>
      </w:r>
      <w:r w:rsidRPr="003A2857">
        <w:rPr>
          <w:rFonts w:hAnsi="宋体" w:hint="eastAsia"/>
          <w:color w:val="000000" w:themeColor="text1"/>
          <w:sz w:val="21"/>
          <w:szCs w:val="21"/>
        </w:rPr>
        <w:t>基金管理人应使用传真方式或其他基金托管人和基金管理人书面确认过的方式向基金托管人发出授权通知，同时电话通知基金托管人</w:t>
      </w:r>
      <w:r w:rsidR="002D0533" w:rsidRPr="002D0533">
        <w:rPr>
          <w:rFonts w:hAnsi="宋体" w:hint="eastAsia"/>
          <w:color w:val="000000" w:themeColor="text1"/>
          <w:sz w:val="21"/>
          <w:szCs w:val="21"/>
        </w:rPr>
        <w:t>基金托管人在收到授权通知当日与基金管理人确认。基金托管人与基金管理人确认之后，授权通知生效。如授权通知中载明的生效日期早于基金托管人与基金管理人确认的时间，则以基金托管人与基金管理人确认的时间为授权通知生效日期；如授权通知中载明的生效日期晚于基金托管人与基金管理人确认的时间，则以授权通知中载明的日期为授权通知生效日期。</w:t>
      </w:r>
      <w:r w:rsidRPr="003A2857">
        <w:rPr>
          <w:rFonts w:hAnsi="宋体" w:hint="eastAsia"/>
          <w:color w:val="000000" w:themeColor="text1"/>
          <w:sz w:val="21"/>
          <w:szCs w:val="21"/>
        </w:rPr>
        <w:t>基金管理人在此后3个工作日内将授权通知的正本送交基金托管人。授权通知正本内容应与基金托管人收到的传真内容</w:t>
      </w:r>
      <w:r w:rsidRPr="003A2857">
        <w:rPr>
          <w:rFonts w:hAnsi="宋体"/>
          <w:color w:val="000000" w:themeColor="text1"/>
          <w:sz w:val="21"/>
          <w:szCs w:val="21"/>
        </w:rPr>
        <w:t>一致，若有</w:t>
      </w:r>
      <w:r w:rsidRPr="003A2857">
        <w:rPr>
          <w:rFonts w:hAnsi="宋体" w:hint="eastAsia"/>
          <w:color w:val="000000" w:themeColor="text1"/>
          <w:sz w:val="21"/>
          <w:szCs w:val="21"/>
        </w:rPr>
        <w:t>不一致的，以基金托管人收到的传真为准。</w:t>
      </w:r>
    </w:p>
    <w:p w14:paraId="42AB1AD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基金管理人和基金托管人对授权文件负有保密义务，其内容不得向被授权人及相关操作人员以外的任何人泄露，</w:t>
      </w:r>
      <w:r w:rsidRPr="003A2857">
        <w:rPr>
          <w:rFonts w:asciiTheme="minorEastAsia" w:eastAsiaTheme="minorEastAsia" w:hAnsiTheme="minorEastAsia" w:hint="eastAsia"/>
          <w:color w:val="000000" w:themeColor="text1"/>
          <w:sz w:val="21"/>
          <w:szCs w:val="21"/>
        </w:rPr>
        <w:t>除本协议另有约定或</w:t>
      </w:r>
      <w:r w:rsidRPr="003A2857">
        <w:rPr>
          <w:rFonts w:hAnsi="宋体"/>
          <w:color w:val="000000" w:themeColor="text1"/>
          <w:sz w:val="21"/>
          <w:szCs w:val="21"/>
        </w:rPr>
        <w:t>法律法规另有规定</w:t>
      </w:r>
      <w:r w:rsidRPr="003A2857">
        <w:rPr>
          <w:rFonts w:hAnsi="宋体" w:hint="eastAsia"/>
          <w:color w:val="000000" w:themeColor="text1"/>
          <w:sz w:val="21"/>
          <w:szCs w:val="21"/>
        </w:rPr>
        <w:t>或</w:t>
      </w:r>
      <w:r w:rsidRPr="003A2857">
        <w:rPr>
          <w:rFonts w:hAnsi="宋体"/>
          <w:color w:val="000000" w:themeColor="text1"/>
          <w:sz w:val="21"/>
          <w:szCs w:val="21"/>
        </w:rPr>
        <w:t>有权机关另有要求的除外</w:t>
      </w:r>
      <w:r w:rsidRPr="003A2857">
        <w:rPr>
          <w:rFonts w:hAnsi="宋体" w:hint="eastAsia"/>
          <w:color w:val="000000" w:themeColor="text1"/>
          <w:sz w:val="21"/>
          <w:szCs w:val="21"/>
        </w:rPr>
        <w:t>。</w:t>
      </w:r>
    </w:p>
    <w:p w14:paraId="39309D2B"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6.2指令的内容</w:t>
      </w:r>
    </w:p>
    <w:p w14:paraId="190A3AE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指令是基金管理人在运用基金资产时，向基金托管人发出的资金划拨及其他款项支付的指令。基金管理人发给基金托管人的指令应写明款项事由、支付时间、到账时间、金额、账户等，加盖预留印鉴并由被授权人签字或盖章。</w:t>
      </w:r>
    </w:p>
    <w:p w14:paraId="3882D0A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6.3指令的发送、确认和执行的时间和程序</w:t>
      </w:r>
    </w:p>
    <w:p w14:paraId="0D8AEECF" w14:textId="79EA752C"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6.3.1指令由“授权通知”确定的被授权人代表基金管理人用传真的方式或其他基金托管人和基金管理人书面确认过的方式向基金托管人发送。基金管理人有义务在发送指令后及时与</w:t>
      </w:r>
      <w:r w:rsidR="009C26D3">
        <w:rPr>
          <w:rFonts w:hAnsi="宋体" w:hint="eastAsia"/>
          <w:color w:val="000000" w:themeColor="text1"/>
          <w:sz w:val="21"/>
          <w:szCs w:val="21"/>
        </w:rPr>
        <w:t>基金</w:t>
      </w:r>
      <w:r w:rsidRPr="003A2857">
        <w:rPr>
          <w:rFonts w:hAnsi="宋体" w:hint="eastAsia"/>
          <w:color w:val="000000" w:themeColor="text1"/>
          <w:sz w:val="21"/>
          <w:szCs w:val="21"/>
        </w:rPr>
        <w:t>托管人进行确认，因基金管理人未能及时与基金托管人进行指令确认，致使资金未能及时到账所造成的损失，基金托管人不承担</w:t>
      </w:r>
      <w:r w:rsidR="009C26D3">
        <w:rPr>
          <w:rFonts w:hAnsi="宋体" w:hint="eastAsia"/>
          <w:color w:val="000000" w:themeColor="text1"/>
          <w:sz w:val="21"/>
          <w:szCs w:val="21"/>
        </w:rPr>
        <w:t>相关</w:t>
      </w:r>
      <w:r w:rsidRPr="003A2857">
        <w:rPr>
          <w:rFonts w:hAnsi="宋体" w:hint="eastAsia"/>
          <w:color w:val="000000" w:themeColor="text1"/>
          <w:sz w:val="21"/>
          <w:szCs w:val="21"/>
        </w:rPr>
        <w:t>责任。基金托管人依照“授权通知”规定的方法确认指令有效后，方可执行指令。对于被授权人发出的指令，基金管理人不得否认其效力。基金托管人正确执行基金管理人发送的有效指令，基金份额持有人或基金财产发生损</w:t>
      </w:r>
      <w:r w:rsidRPr="003A2857">
        <w:rPr>
          <w:rFonts w:hAnsi="宋体" w:hint="eastAsia"/>
          <w:color w:val="000000" w:themeColor="text1"/>
          <w:sz w:val="21"/>
          <w:szCs w:val="21"/>
        </w:rPr>
        <w:lastRenderedPageBreak/>
        <w:t>失的，基金托管人不承担</w:t>
      </w:r>
      <w:r w:rsidR="009C26D3">
        <w:rPr>
          <w:rFonts w:hAnsi="宋体" w:hint="eastAsia"/>
          <w:color w:val="000000" w:themeColor="text1"/>
          <w:sz w:val="21"/>
          <w:szCs w:val="21"/>
        </w:rPr>
        <w:t>相关</w:t>
      </w:r>
      <w:r w:rsidRPr="003A2857">
        <w:rPr>
          <w:rFonts w:hAnsi="宋体" w:hint="eastAsia"/>
          <w:color w:val="000000" w:themeColor="text1"/>
          <w:sz w:val="21"/>
          <w:szCs w:val="21"/>
        </w:rPr>
        <w:t>责任。基金管理人应按照《基金法》、有关法律法规和基金合同的规定，在其合法的经营权限和交易权限内发送划款指令，被授权人应按照其授权权限发送划款指令。基金管理人在发送指令时，应为基金托管人留出</w:t>
      </w:r>
      <w:r w:rsidR="009D6689" w:rsidRPr="003A2857">
        <w:rPr>
          <w:rFonts w:hAnsi="宋体" w:hint="eastAsia"/>
          <w:color w:val="000000" w:themeColor="text1"/>
          <w:sz w:val="21"/>
          <w:szCs w:val="21"/>
        </w:rPr>
        <w:t>执行指令所必需的时间（为2小时）</w:t>
      </w:r>
      <w:r w:rsidRPr="003A2857">
        <w:rPr>
          <w:rFonts w:hAnsi="宋体"/>
          <w:color w:val="000000" w:themeColor="text1"/>
          <w:sz w:val="21"/>
          <w:szCs w:val="21"/>
        </w:rPr>
        <w:t>，作为</w:t>
      </w:r>
      <w:r w:rsidRPr="003A2857">
        <w:rPr>
          <w:rFonts w:hAnsi="宋体" w:hint="eastAsia"/>
          <w:color w:val="000000" w:themeColor="text1"/>
          <w:sz w:val="21"/>
          <w:szCs w:val="21"/>
        </w:rPr>
        <w:t>执行指令所必需的时间。由基金管理人原因造成的指令传输不及时、未能留出足够划款所需时间，基金托管人不承担资金未能及时到账所造成的损失。</w:t>
      </w:r>
    </w:p>
    <w:p w14:paraId="25F83CC3" w14:textId="7807E349"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color w:val="000000" w:themeColor="text1"/>
          <w:sz w:val="21"/>
          <w:szCs w:val="21"/>
        </w:rPr>
        <w:t>6.3.2</w:t>
      </w:r>
      <w:r w:rsidRPr="003A2857">
        <w:rPr>
          <w:rFonts w:hAnsi="宋体" w:hint="eastAsia"/>
          <w:b/>
          <w:bCs/>
          <w:color w:val="000000" w:themeColor="text1"/>
          <w:sz w:val="21"/>
          <w:szCs w:val="21"/>
        </w:rPr>
        <w:t>基金托管人根据本协议相关约定仅履行表面一致形式审核职责，对指令的真实性不承担责任。</w:t>
      </w:r>
      <w:r w:rsidRPr="003A2857">
        <w:rPr>
          <w:rFonts w:hAnsi="宋体" w:hint="eastAsia"/>
          <w:color w:val="000000" w:themeColor="text1"/>
          <w:sz w:val="21"/>
          <w:szCs w:val="21"/>
        </w:rPr>
        <w:t>如果基金管理人的指令存在事实上未经授权、欺诈、伪造、变造或未能及时提供授权通知等情形，基金托管人不承担因执行有关指令或拒绝执行有关指令而给基金管理人或基金财产带来的损失，但基金托管人未按协议约定尽形式审核义务执行指令而造成损失的情形除外。</w:t>
      </w:r>
    </w:p>
    <w:p w14:paraId="3F3FDC35"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6.3.</w:t>
      </w:r>
      <w:r w:rsidRPr="003A2857">
        <w:rPr>
          <w:rFonts w:hAnsi="宋体"/>
          <w:color w:val="000000" w:themeColor="text1"/>
          <w:sz w:val="21"/>
          <w:szCs w:val="21"/>
        </w:rPr>
        <w:t>3</w:t>
      </w:r>
      <w:r w:rsidRPr="003A2857">
        <w:rPr>
          <w:rFonts w:hAnsi="宋体" w:hint="eastAsia"/>
          <w:color w:val="000000" w:themeColor="text1"/>
          <w:sz w:val="21"/>
          <w:szCs w:val="21"/>
        </w:rPr>
        <w:t>基金托管人不负责审查基金管理人发送指令同时提交的其他文件资料的合法性、真实性、完整性和有效性，基金管理人应保证上述文件资料合法、真实、完整和有效。如因基金管理人提供的上述文件不合法、不真实、不完整或失去效力而影响基金托管人的审核或给任何第三人带来损失，基金托管人不承担任何形式的责任。</w:t>
      </w:r>
    </w:p>
    <w:p w14:paraId="0FEFAF2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6.3.</w:t>
      </w:r>
      <w:r w:rsidRPr="003A2857">
        <w:rPr>
          <w:rFonts w:hAnsi="宋体"/>
          <w:color w:val="000000" w:themeColor="text1"/>
          <w:sz w:val="21"/>
          <w:szCs w:val="21"/>
        </w:rPr>
        <w:t>4</w:t>
      </w:r>
      <w:r w:rsidRPr="003A2857">
        <w:rPr>
          <w:rFonts w:hAnsi="宋体" w:hint="eastAsia"/>
          <w:color w:val="000000" w:themeColor="text1"/>
          <w:sz w:val="21"/>
          <w:szCs w:val="21"/>
        </w:rPr>
        <w:t>基金托管人应指定专人接收基金管理人的指令，预先通知基金管理人其名单，并与基金管理人商定指令发送和接收方式。基金托管人收到基金管理人发送的指令后，应对指令进行表面形式审查，验证指令的要素是否齐全，传真指令仅对划款指令的印鉴及被授权人签章等通过肉眼辨识的方式与预留印鉴和签章样本进行比对，形式上不存在重大差异的，即视为通过表面审查。基金管理人出具的划款指令中的编号不属于指令要素，属于基金管理人内部业务信息，基金托管人不对指令编号承担任何审核职责；基金管理人应确保其在划款指令中填写的内容真实、准确、完整，划款指令编号不存在重复。因划款指令编号重复、编号不连续、空缺导致的重复性扣款，所产生的责任由基金管理人承担，与基金托管人无关。指令复核无误后应在规定期限内及时执行。指令若以传真方式发出，则正本由基金管理人保管，基金托管人保管指令传真件。当两者不一致时，以基金托管人收到的指令传真件为准。</w:t>
      </w:r>
    </w:p>
    <w:p w14:paraId="791F3319" w14:textId="3540D65D"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6.3.</w:t>
      </w:r>
      <w:r w:rsidRPr="003A2857">
        <w:rPr>
          <w:rFonts w:hAnsi="宋体"/>
          <w:color w:val="000000" w:themeColor="text1"/>
          <w:sz w:val="21"/>
          <w:szCs w:val="21"/>
        </w:rPr>
        <w:t>5</w:t>
      </w:r>
      <w:r w:rsidRPr="003A2857">
        <w:rPr>
          <w:rFonts w:hAnsi="宋体" w:hint="eastAsia"/>
          <w:color w:val="000000" w:themeColor="text1"/>
          <w:sz w:val="21"/>
          <w:szCs w:val="21"/>
        </w:rPr>
        <w:t>基金管理人向基金托管人下达指令时，应确保基金银行账户有足够的资金余额，对基金管理人在没有充足资金的情况下向基金托管人发出的指令，基金托管人可不予执行，</w:t>
      </w:r>
      <w:r w:rsidRPr="003A2857">
        <w:rPr>
          <w:rFonts w:hAnsi="宋体" w:hint="eastAsia"/>
          <w:color w:val="000000" w:themeColor="text1"/>
          <w:sz w:val="21"/>
          <w:szCs w:val="21"/>
        </w:rPr>
        <w:lastRenderedPageBreak/>
        <w:t>并立即通知基金管理人，基金托管人</w:t>
      </w:r>
      <w:r w:rsidR="009C26D3" w:rsidRPr="009C26D3">
        <w:rPr>
          <w:rFonts w:hAnsi="宋体" w:hint="eastAsia"/>
          <w:color w:val="000000" w:themeColor="text1"/>
          <w:sz w:val="21"/>
          <w:szCs w:val="21"/>
        </w:rPr>
        <w:t>已依约履行相应义务后，</w:t>
      </w:r>
      <w:r w:rsidRPr="003A2857">
        <w:rPr>
          <w:rFonts w:hAnsi="宋体" w:hint="eastAsia"/>
          <w:color w:val="000000" w:themeColor="text1"/>
          <w:sz w:val="21"/>
          <w:szCs w:val="21"/>
        </w:rPr>
        <w:t>不承担因为不执行该指令而造成损失的责任。</w:t>
      </w:r>
    </w:p>
    <w:p w14:paraId="3CF82E4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6.4基金管理人发送错误指令的情形和处理程序</w:t>
      </w:r>
    </w:p>
    <w:p w14:paraId="181559A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6.4.1基金管理人发送错误指令的情形包括指令违反相关法律法规或基金合同、指令发送人员无权或超越权限发送指令及交割信息错误，指令中重要信息模糊不清或不全等。</w:t>
      </w:r>
    </w:p>
    <w:p w14:paraId="061D240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6.4.2基金托管人在履行监督职能时，发现基金管理人的指令错误时，有权拒绝执行，并及时通知基金管理人改正。</w:t>
      </w:r>
    </w:p>
    <w:p w14:paraId="26FCCC0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6.5基金托管人依照法律法规暂缓、拒绝执行指令的情形和处理程序</w:t>
      </w:r>
    </w:p>
    <w:p w14:paraId="4B2C296B" w14:textId="61A75BF5"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基金托管人发现基金管理人发送的指令违反《基金法》、基金合同、本协议或有关基金法规的有关规定，有权视情况暂缓执行或不予执行，并应及时</w:t>
      </w:r>
      <w:r w:rsidR="009C26D3">
        <w:rPr>
          <w:rFonts w:hAnsi="宋体" w:hint="eastAsia"/>
          <w:color w:val="000000" w:themeColor="text1"/>
          <w:sz w:val="21"/>
          <w:szCs w:val="21"/>
        </w:rPr>
        <w:t>以书面形式</w:t>
      </w:r>
      <w:r w:rsidRPr="003A2857">
        <w:rPr>
          <w:rFonts w:hAnsi="宋体" w:hint="eastAsia"/>
          <w:color w:val="000000" w:themeColor="text1"/>
          <w:sz w:val="21"/>
          <w:szCs w:val="21"/>
        </w:rPr>
        <w:t>通知基金管理人纠正，基金托管人不承担</w:t>
      </w:r>
      <w:r w:rsidR="009C26D3">
        <w:rPr>
          <w:rFonts w:hAnsi="宋体" w:hint="eastAsia"/>
          <w:color w:val="000000" w:themeColor="text1"/>
          <w:sz w:val="21"/>
          <w:szCs w:val="21"/>
        </w:rPr>
        <w:t>相应</w:t>
      </w:r>
      <w:r w:rsidRPr="003A2857">
        <w:rPr>
          <w:rFonts w:hAnsi="宋体" w:hint="eastAsia"/>
          <w:color w:val="000000" w:themeColor="text1"/>
          <w:sz w:val="21"/>
          <w:szCs w:val="21"/>
        </w:rPr>
        <w:t>损失和责任。对基金管理人更正并重新发送后的指令经基金托管人核对确认后方能执行。</w:t>
      </w:r>
    </w:p>
    <w:p w14:paraId="783DD7E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6.6基金托管人未按照基金管理人指令执行的处理方法</w:t>
      </w:r>
    </w:p>
    <w:p w14:paraId="779046DA" w14:textId="35485A3B"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基金托管人由于自身过错原因造成未按照或者未及时按照基金管理人发送的符合法律法规规定以及基金合同、本协议约定的指令执行，</w:t>
      </w:r>
      <w:r w:rsidR="009C26D3" w:rsidRPr="009C26D3">
        <w:rPr>
          <w:rFonts w:hAnsi="宋体" w:hint="eastAsia"/>
          <w:color w:val="000000" w:themeColor="text1"/>
          <w:sz w:val="21"/>
          <w:szCs w:val="21"/>
        </w:rPr>
        <w:t>应在发现后及时采取措施予以补救，</w:t>
      </w:r>
      <w:r w:rsidRPr="003A2857">
        <w:rPr>
          <w:rFonts w:hAnsi="宋体" w:hint="eastAsia"/>
          <w:color w:val="000000" w:themeColor="text1"/>
          <w:sz w:val="21"/>
          <w:szCs w:val="21"/>
        </w:rPr>
        <w:t>给基金份额持有人或</w:t>
      </w:r>
      <w:r w:rsidRPr="003A2857">
        <w:rPr>
          <w:rFonts w:hAnsi="宋体"/>
          <w:color w:val="000000" w:themeColor="text1"/>
          <w:sz w:val="21"/>
          <w:szCs w:val="21"/>
        </w:rPr>
        <w:t>基金财产</w:t>
      </w:r>
      <w:r w:rsidR="009C26D3" w:rsidRPr="009C26D3">
        <w:rPr>
          <w:rFonts w:hAnsi="宋体" w:hint="eastAsia"/>
          <w:color w:val="000000" w:themeColor="text1"/>
          <w:sz w:val="21"/>
          <w:szCs w:val="21"/>
        </w:rPr>
        <w:t>或基金管理人</w:t>
      </w:r>
      <w:r w:rsidRPr="003A2857">
        <w:rPr>
          <w:rFonts w:hAnsi="宋体" w:hint="eastAsia"/>
          <w:color w:val="000000" w:themeColor="text1"/>
          <w:sz w:val="21"/>
          <w:szCs w:val="21"/>
        </w:rPr>
        <w:t>造成损失的，应承担相应的责任，但如遇到不可抗力的情况除外。</w:t>
      </w:r>
    </w:p>
    <w:p w14:paraId="74FB114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6.7更换被授权人的程序</w:t>
      </w:r>
    </w:p>
    <w:p w14:paraId="5ED3BDC4" w14:textId="46F12BFC"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管理人撤换被授权人员或改变被授权人员的权限，必须提前至少1个交易日，使用传真方式或其他基金托管人和基金管理人书面确认过的方式向基金托管人发出由基金管理人签字和盖章的被授权人变更通知，同时电话通知基金托管人，基金托管人收到变更通知当日与基金管理人确认。</w:t>
      </w:r>
      <w:r w:rsidR="002D0533" w:rsidRPr="002D0533">
        <w:rPr>
          <w:rFonts w:hAnsi="宋体" w:hint="eastAsia"/>
          <w:color w:val="000000" w:themeColor="text1"/>
          <w:sz w:val="21"/>
          <w:szCs w:val="21"/>
        </w:rPr>
        <w:t>基金管理人向基金托管人发出的授权</w:t>
      </w:r>
      <w:r w:rsidR="002D0533">
        <w:rPr>
          <w:rFonts w:hAnsi="宋体" w:hint="eastAsia"/>
          <w:color w:val="000000" w:themeColor="text1"/>
          <w:sz w:val="21"/>
          <w:szCs w:val="21"/>
        </w:rPr>
        <w:t>变更</w:t>
      </w:r>
      <w:r w:rsidR="002D0533" w:rsidRPr="002D0533">
        <w:rPr>
          <w:rFonts w:hAnsi="宋体" w:hint="eastAsia"/>
          <w:color w:val="000000" w:themeColor="text1"/>
          <w:sz w:val="21"/>
          <w:szCs w:val="21"/>
        </w:rPr>
        <w:t>通知应加盖基金管理人公章，并由基金管理人法定代表人或其授权代表签章（签字或加盖名章），如为授权代表签章，还应附上法定代表人的授权委托书。基金托管人在收到</w:t>
      </w:r>
      <w:r w:rsidR="002D0533">
        <w:rPr>
          <w:rFonts w:hAnsi="宋体" w:hint="eastAsia"/>
          <w:color w:val="000000" w:themeColor="text1"/>
          <w:sz w:val="21"/>
          <w:szCs w:val="21"/>
        </w:rPr>
        <w:t>变更</w:t>
      </w:r>
      <w:r w:rsidR="002D0533" w:rsidRPr="002D0533">
        <w:rPr>
          <w:rFonts w:hAnsi="宋体" w:hint="eastAsia"/>
          <w:color w:val="000000" w:themeColor="text1"/>
          <w:sz w:val="21"/>
          <w:szCs w:val="21"/>
        </w:rPr>
        <w:t>授权通知当日与基金管理人确认。基金托管人与基金管理人确认之后，</w:t>
      </w:r>
      <w:r w:rsidR="002D0533">
        <w:rPr>
          <w:rFonts w:hAnsi="宋体" w:hint="eastAsia"/>
          <w:color w:val="000000" w:themeColor="text1"/>
          <w:sz w:val="21"/>
          <w:szCs w:val="21"/>
        </w:rPr>
        <w:t>变更</w:t>
      </w:r>
      <w:r w:rsidR="002D0533" w:rsidRPr="002D0533">
        <w:rPr>
          <w:rFonts w:hAnsi="宋体" w:hint="eastAsia"/>
          <w:color w:val="000000" w:themeColor="text1"/>
          <w:sz w:val="21"/>
          <w:szCs w:val="21"/>
        </w:rPr>
        <w:t>授权通知生效。如</w:t>
      </w:r>
      <w:r w:rsidR="002D0533">
        <w:rPr>
          <w:rFonts w:hAnsi="宋体" w:hint="eastAsia"/>
          <w:color w:val="000000" w:themeColor="text1"/>
          <w:sz w:val="21"/>
          <w:szCs w:val="21"/>
        </w:rPr>
        <w:t>变更</w:t>
      </w:r>
      <w:r w:rsidR="002D0533" w:rsidRPr="002D0533">
        <w:rPr>
          <w:rFonts w:hAnsi="宋体" w:hint="eastAsia"/>
          <w:color w:val="000000" w:themeColor="text1"/>
          <w:sz w:val="21"/>
          <w:szCs w:val="21"/>
        </w:rPr>
        <w:t>授权通知中载明的生效日期早于基金托管人与基金管理人确认的时间，则以基金托管人与基金管理人确认的时间为</w:t>
      </w:r>
      <w:r w:rsidR="002D0533">
        <w:rPr>
          <w:rFonts w:hAnsi="宋体" w:hint="eastAsia"/>
          <w:color w:val="000000" w:themeColor="text1"/>
          <w:sz w:val="21"/>
          <w:szCs w:val="21"/>
        </w:rPr>
        <w:t>变更</w:t>
      </w:r>
      <w:r w:rsidR="002D0533" w:rsidRPr="002D0533">
        <w:rPr>
          <w:rFonts w:hAnsi="宋体" w:hint="eastAsia"/>
          <w:color w:val="000000" w:themeColor="text1"/>
          <w:sz w:val="21"/>
          <w:szCs w:val="21"/>
        </w:rPr>
        <w:lastRenderedPageBreak/>
        <w:t>授权通知生效日期；如</w:t>
      </w:r>
      <w:r w:rsidR="002D0533">
        <w:rPr>
          <w:rFonts w:hAnsi="宋体" w:hint="eastAsia"/>
          <w:color w:val="000000" w:themeColor="text1"/>
          <w:sz w:val="21"/>
          <w:szCs w:val="21"/>
        </w:rPr>
        <w:t>变更</w:t>
      </w:r>
      <w:r w:rsidR="002D0533" w:rsidRPr="002D0533">
        <w:rPr>
          <w:rFonts w:hAnsi="宋体" w:hint="eastAsia"/>
          <w:color w:val="000000" w:themeColor="text1"/>
          <w:sz w:val="21"/>
          <w:szCs w:val="21"/>
        </w:rPr>
        <w:t>授权通知中载明的生效日期晚于基金托管人与基金管理人确认的时间，则以</w:t>
      </w:r>
      <w:r w:rsidR="002D0533">
        <w:rPr>
          <w:rFonts w:hAnsi="宋体" w:hint="eastAsia"/>
          <w:color w:val="000000" w:themeColor="text1"/>
          <w:sz w:val="21"/>
          <w:szCs w:val="21"/>
        </w:rPr>
        <w:t>变更</w:t>
      </w:r>
      <w:r w:rsidR="002D0533" w:rsidRPr="002D0533">
        <w:rPr>
          <w:rFonts w:hAnsi="宋体" w:hint="eastAsia"/>
          <w:color w:val="000000" w:themeColor="text1"/>
          <w:sz w:val="21"/>
          <w:szCs w:val="21"/>
        </w:rPr>
        <w:t>授权通知中载明的日期为</w:t>
      </w:r>
      <w:r w:rsidR="002D0533">
        <w:rPr>
          <w:rFonts w:hAnsi="宋体" w:hint="eastAsia"/>
          <w:color w:val="000000" w:themeColor="text1"/>
          <w:sz w:val="21"/>
          <w:szCs w:val="21"/>
        </w:rPr>
        <w:t>变更</w:t>
      </w:r>
      <w:r w:rsidR="002D0533" w:rsidRPr="002D0533">
        <w:rPr>
          <w:rFonts w:hAnsi="宋体" w:hint="eastAsia"/>
          <w:color w:val="000000" w:themeColor="text1"/>
          <w:sz w:val="21"/>
          <w:szCs w:val="21"/>
        </w:rPr>
        <w:t>授权通知生效日期。</w:t>
      </w:r>
      <w:r w:rsidRPr="003A2857">
        <w:rPr>
          <w:rFonts w:hAnsi="宋体" w:hint="eastAsia"/>
          <w:color w:val="000000" w:themeColor="text1"/>
          <w:sz w:val="21"/>
          <w:szCs w:val="21"/>
        </w:rPr>
        <w:t>基金管理人在此后3个工作日内将被授权人变更通知的正本送交基金托管人。被授权人变更通知的正本应与传真内容一致，若有不一致的，以基金托管人收到的传真件为准。在被授权人变更通知生效之前，基金托管人所接收的原被授权人所签发的划款指令及其它文件仍然完全有效。基金管理人更换被授权人通知生效后，对于已被撤换的人员无权发送的指令，或被改变授权人员超权限发送的指令，基金管理人不承担责任。</w:t>
      </w:r>
    </w:p>
    <w:p w14:paraId="7C23FFB6" w14:textId="77777777" w:rsidR="00950499" w:rsidRPr="003A2857" w:rsidRDefault="005541ED" w:rsidP="00FB2E71">
      <w:pPr>
        <w:pStyle w:val="1"/>
        <w:spacing w:line="520" w:lineRule="atLeast"/>
        <w:ind w:firstLineChars="200" w:firstLine="422"/>
        <w:rPr>
          <w:bCs/>
          <w:color w:val="000000" w:themeColor="text1"/>
          <w:sz w:val="21"/>
          <w:szCs w:val="21"/>
        </w:rPr>
      </w:pPr>
      <w:bookmarkStart w:id="26" w:name="_Toc200545739"/>
      <w:r w:rsidRPr="003A2857">
        <w:rPr>
          <w:rFonts w:hint="eastAsia"/>
          <w:bCs/>
          <w:color w:val="000000" w:themeColor="text1"/>
          <w:sz w:val="21"/>
          <w:szCs w:val="21"/>
        </w:rPr>
        <w:t>第七条 交易及清算交收安排</w:t>
      </w:r>
      <w:bookmarkEnd w:id="26"/>
      <w:r w:rsidRPr="003A2857">
        <w:rPr>
          <w:rFonts w:hint="eastAsia"/>
          <w:bCs/>
          <w:color w:val="000000" w:themeColor="text1"/>
          <w:sz w:val="21"/>
          <w:szCs w:val="21"/>
        </w:rPr>
        <w:t xml:space="preserve"> </w:t>
      </w:r>
    </w:p>
    <w:p w14:paraId="0C15DE75" w14:textId="77777777" w:rsidR="00950499" w:rsidRPr="003A2857" w:rsidRDefault="005541ED">
      <w:pPr>
        <w:pStyle w:val="20"/>
        <w:spacing w:before="0" w:after="0" w:line="520" w:lineRule="atLeast"/>
        <w:rPr>
          <w:rFonts w:hAnsi="宋体"/>
          <w:color w:val="000000" w:themeColor="text1"/>
          <w:sz w:val="21"/>
          <w:szCs w:val="21"/>
        </w:rPr>
      </w:pPr>
      <w:r w:rsidRPr="003A2857">
        <w:rPr>
          <w:rFonts w:hAnsi="宋体" w:hint="eastAsia"/>
          <w:color w:val="000000" w:themeColor="text1"/>
          <w:sz w:val="21"/>
          <w:szCs w:val="21"/>
        </w:rPr>
        <w:t>7.1选择代理证券买卖的证券经营机构</w:t>
      </w:r>
    </w:p>
    <w:p w14:paraId="3E03F35D"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7.1.1基金管理人应制定选择代理证券买卖的证券经营机构的标准和程序。基金管理人负责选择代理本基金证券买卖的证券经营机构，使用其交易单元作为基金的专用交易单元。基金管理人和被选中的证券经营机构签订委托协议，由基金管理人提前通知基金托管人，并在法定信息披露公告中披露有关内容。交易单元保证金由被选中的证券经营机构支付。</w:t>
      </w:r>
    </w:p>
    <w:p w14:paraId="389C0DDA"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7.1.2基金管理人应及时将基金专用交易单元号、佣金费率等基本信息以及变更情况以书面形式通知基金托管人。</w:t>
      </w:r>
    </w:p>
    <w:p w14:paraId="55CC4095" w14:textId="77777777" w:rsidR="00950499" w:rsidRPr="003A2857" w:rsidRDefault="005541ED">
      <w:pPr>
        <w:pStyle w:val="20"/>
        <w:spacing w:before="0" w:after="0" w:line="520" w:lineRule="atLeast"/>
        <w:rPr>
          <w:rFonts w:hAnsi="宋体"/>
          <w:color w:val="000000" w:themeColor="text1"/>
          <w:sz w:val="21"/>
          <w:szCs w:val="21"/>
        </w:rPr>
      </w:pPr>
      <w:r w:rsidRPr="003A2857">
        <w:rPr>
          <w:rFonts w:hAnsi="宋体" w:hint="eastAsia"/>
          <w:color w:val="000000" w:themeColor="text1"/>
          <w:sz w:val="21"/>
          <w:szCs w:val="21"/>
        </w:rPr>
        <w:t>7.2清算与交割</w:t>
      </w:r>
    </w:p>
    <w:p w14:paraId="17D66C8C" w14:textId="77777777" w:rsidR="00950499" w:rsidRPr="003A2857" w:rsidRDefault="005541ED">
      <w:pPr>
        <w:pStyle w:val="20"/>
        <w:spacing w:before="0" w:after="0" w:line="520" w:lineRule="atLeast"/>
        <w:rPr>
          <w:rFonts w:hAnsi="宋体"/>
          <w:color w:val="000000" w:themeColor="text1"/>
          <w:sz w:val="21"/>
          <w:szCs w:val="21"/>
        </w:rPr>
      </w:pPr>
      <w:r w:rsidRPr="003A2857">
        <w:rPr>
          <w:rFonts w:hAnsi="宋体" w:hint="eastAsia"/>
          <w:color w:val="000000" w:themeColor="text1"/>
          <w:sz w:val="21"/>
          <w:szCs w:val="21"/>
        </w:rPr>
        <w:t>7.2.1基金投资证券后的清算交收安排</w:t>
      </w:r>
    </w:p>
    <w:p w14:paraId="180EF73A"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基金管理人与基金托管人应根据有关法律法规及相关业务规则，签订《证券交易资金结算协议》，用以具体明确基金管理人与基金托管人在证券交易资金结算业务中的责任。</w:t>
      </w:r>
    </w:p>
    <w:p w14:paraId="112F20AC"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对基金管理人的资金划拨指令，基金托管人在复核无误后应在规定期限内执行，不得无故延误。</w:t>
      </w:r>
    </w:p>
    <w:p w14:paraId="58052D97" w14:textId="77777777" w:rsidR="00950499" w:rsidRPr="003A2857" w:rsidRDefault="005541ED">
      <w:pPr>
        <w:pStyle w:val="20"/>
        <w:spacing w:before="0" w:after="0" w:line="520" w:lineRule="atLeast"/>
        <w:ind w:left="0" w:firstLine="480"/>
        <w:rPr>
          <w:rFonts w:hAnsi="宋体"/>
          <w:color w:val="000000" w:themeColor="text1"/>
          <w:sz w:val="21"/>
          <w:szCs w:val="21"/>
        </w:rPr>
      </w:pPr>
      <w:r w:rsidRPr="003A2857">
        <w:rPr>
          <w:rFonts w:hAnsi="宋体" w:hint="eastAsia"/>
          <w:color w:val="000000" w:themeColor="text1"/>
          <w:sz w:val="21"/>
          <w:szCs w:val="21"/>
        </w:rPr>
        <w:t>本基金投资于证券发生的所有场内、场外交易的资金清算交割，全部由基金托管人负责办理。</w:t>
      </w:r>
    </w:p>
    <w:p w14:paraId="59B2E228" w14:textId="07B56E50" w:rsidR="00950499" w:rsidRPr="003A2857" w:rsidRDefault="005541ED">
      <w:pPr>
        <w:pStyle w:val="20"/>
        <w:spacing w:before="0" w:after="0" w:line="520" w:lineRule="atLeast"/>
        <w:ind w:left="0" w:firstLine="480"/>
        <w:rPr>
          <w:rFonts w:hAnsi="宋体"/>
          <w:color w:val="000000" w:themeColor="text1"/>
          <w:sz w:val="21"/>
          <w:szCs w:val="21"/>
        </w:rPr>
      </w:pPr>
      <w:r w:rsidRPr="003A2857">
        <w:rPr>
          <w:rFonts w:hAnsi="宋体" w:hint="eastAsia"/>
          <w:color w:val="000000" w:themeColor="text1"/>
          <w:sz w:val="21"/>
          <w:szCs w:val="21"/>
        </w:rPr>
        <w:t>本基金证券投资的清算交割，由基金托管人通过中登公司及清算代理银行办理。</w:t>
      </w:r>
    </w:p>
    <w:p w14:paraId="3E9AEC60" w14:textId="5655B705" w:rsidR="00950499" w:rsidRPr="003A2857" w:rsidRDefault="005541ED">
      <w:pPr>
        <w:pStyle w:val="20"/>
        <w:spacing w:before="0" w:after="0" w:line="520" w:lineRule="atLeast"/>
        <w:ind w:left="0" w:firstLine="480"/>
        <w:rPr>
          <w:rFonts w:hAnsi="宋体"/>
          <w:color w:val="000000" w:themeColor="text1"/>
          <w:sz w:val="21"/>
          <w:szCs w:val="21"/>
        </w:rPr>
      </w:pPr>
      <w:r w:rsidRPr="003A2857">
        <w:rPr>
          <w:rFonts w:hAnsi="宋体" w:hint="eastAsia"/>
          <w:color w:val="000000" w:themeColor="text1"/>
          <w:sz w:val="21"/>
          <w:szCs w:val="21"/>
        </w:rPr>
        <w:t>交易及清算交收安排中管理人应为托管人预留2个小时的指令处理时间，当日15:00之后收到的指令，托管人尽力负责但不承诺指令支付成功。如果因基金托管人过错原因在清</w:t>
      </w:r>
      <w:r w:rsidRPr="003A2857">
        <w:rPr>
          <w:rFonts w:hAnsi="宋体" w:hint="eastAsia"/>
          <w:color w:val="000000" w:themeColor="text1"/>
          <w:sz w:val="21"/>
          <w:szCs w:val="21"/>
        </w:rPr>
        <w:lastRenderedPageBreak/>
        <w:t>算和交收中造成基金财产的损失，应由基金托管人负责赔偿基金的损失；如果因为基金管理人违反法律法规的规定进行证券投资或违反双方签订的《证券交易资金结算协议》而造成基金投资清算困难和风险的，基金托管人发现后应立即通知基金管理人，由基金管理人负责</w:t>
      </w:r>
      <w:r w:rsidR="002847EA">
        <w:rPr>
          <w:rFonts w:hAnsi="宋体" w:hint="eastAsia"/>
          <w:color w:val="000000" w:themeColor="text1"/>
          <w:sz w:val="21"/>
          <w:szCs w:val="21"/>
        </w:rPr>
        <w:t>处理</w:t>
      </w:r>
      <w:r w:rsidRPr="003A2857">
        <w:rPr>
          <w:rFonts w:hAnsi="宋体" w:hint="eastAsia"/>
          <w:color w:val="000000" w:themeColor="text1"/>
          <w:sz w:val="21"/>
          <w:szCs w:val="21"/>
        </w:rPr>
        <w:t>，由此给基金造成的损失由基金管理人承担。</w:t>
      </w:r>
    </w:p>
    <w:p w14:paraId="586B0287" w14:textId="77777777" w:rsidR="00950499" w:rsidRPr="003A2857" w:rsidRDefault="005541ED">
      <w:pPr>
        <w:pStyle w:val="20"/>
        <w:spacing w:before="0" w:after="0" w:line="520" w:lineRule="atLeast"/>
        <w:rPr>
          <w:rFonts w:hAnsi="宋体"/>
          <w:color w:val="000000" w:themeColor="text1"/>
          <w:sz w:val="21"/>
          <w:szCs w:val="21"/>
        </w:rPr>
      </w:pPr>
      <w:r w:rsidRPr="003A2857">
        <w:rPr>
          <w:rFonts w:hAnsi="宋体" w:hint="eastAsia"/>
          <w:color w:val="000000" w:themeColor="text1"/>
          <w:sz w:val="21"/>
          <w:szCs w:val="21"/>
        </w:rPr>
        <w:t>7.2.2基金出现超买或超卖的责任认定及处理程序</w:t>
      </w:r>
    </w:p>
    <w:p w14:paraId="1C4CE537" w14:textId="315B315B"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基金托管人在履行监督职能时，如果发现基金投资证券过程中出现超买或超卖现象，应立即提醒基金管理人，由基金管理人负责</w:t>
      </w:r>
      <w:r w:rsidR="009C26D3">
        <w:rPr>
          <w:rFonts w:hAnsi="宋体" w:hint="eastAsia"/>
          <w:color w:val="000000" w:themeColor="text1"/>
          <w:sz w:val="21"/>
          <w:szCs w:val="21"/>
        </w:rPr>
        <w:t>处理</w:t>
      </w:r>
      <w:r w:rsidRPr="003A2857">
        <w:rPr>
          <w:rFonts w:hAnsi="宋体" w:hint="eastAsia"/>
          <w:color w:val="000000" w:themeColor="text1"/>
          <w:sz w:val="21"/>
          <w:szCs w:val="21"/>
        </w:rPr>
        <w:t>，由此给基金造成的损失由基金管理人承担。</w:t>
      </w:r>
    </w:p>
    <w:p w14:paraId="4D021F3C" w14:textId="77777777" w:rsidR="00950499" w:rsidRPr="003A2857" w:rsidRDefault="005541ED">
      <w:pPr>
        <w:pStyle w:val="20"/>
        <w:spacing w:before="0" w:after="0" w:line="520" w:lineRule="atLeast"/>
        <w:rPr>
          <w:rFonts w:hAnsi="宋体"/>
          <w:color w:val="000000" w:themeColor="text1"/>
          <w:sz w:val="21"/>
          <w:szCs w:val="21"/>
        </w:rPr>
      </w:pPr>
      <w:r w:rsidRPr="003A2857">
        <w:rPr>
          <w:rFonts w:hAnsi="宋体" w:hint="eastAsia"/>
          <w:color w:val="000000" w:themeColor="text1"/>
          <w:sz w:val="21"/>
          <w:szCs w:val="21"/>
        </w:rPr>
        <w:t>7.2.3基金无法按时支付证券清算款的责任认定及处理程序</w:t>
      </w:r>
    </w:p>
    <w:p w14:paraId="657519BC"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基金管理人应确保基金托管人在执行基金管理人发送的指令时，有足够的头寸进行交收。基金的资金头寸不足时，基金托管人有权拒绝基金管理人发送的划款指令。基金管理人在发送划款指令时应充分考虑基金托管人的划款处理所需的合理时间。如由于基金管理人的原因导致无法按时支付证券清算款，由此给基金造成的损失由基金管理人承担。</w:t>
      </w:r>
    </w:p>
    <w:p w14:paraId="58693270" w14:textId="77777777" w:rsidR="00950499" w:rsidRPr="003A2857" w:rsidRDefault="005541ED">
      <w:pPr>
        <w:pStyle w:val="20"/>
        <w:spacing w:before="0" w:after="0" w:line="520" w:lineRule="atLeast"/>
        <w:ind w:left="0" w:firstLine="480"/>
        <w:rPr>
          <w:rFonts w:hAnsi="宋体"/>
          <w:color w:val="000000" w:themeColor="text1"/>
          <w:sz w:val="21"/>
          <w:szCs w:val="21"/>
        </w:rPr>
      </w:pPr>
      <w:r w:rsidRPr="003A2857">
        <w:rPr>
          <w:rFonts w:hAnsi="宋体" w:hint="eastAsia"/>
          <w:color w:val="000000" w:themeColor="text1"/>
          <w:sz w:val="21"/>
          <w:szCs w:val="21"/>
        </w:rPr>
        <w:t>在基金资金头寸充足的情况下，基金托管人对基金管理人符合法律法规、基金合同、本托管协议的指令不得拖延或拒绝执行。如由于基金托管人的过错原因导致基金无法按时支付证券清算款，由此给基金造成的损失由基金托管人承担。</w:t>
      </w:r>
    </w:p>
    <w:p w14:paraId="56C0D72A" w14:textId="77777777" w:rsidR="00950499" w:rsidRPr="003A2857" w:rsidRDefault="005541ED" w:rsidP="00FB2E71">
      <w:pPr>
        <w:pStyle w:val="20"/>
        <w:spacing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7.2.4场外交易资金结算</w:t>
      </w:r>
    </w:p>
    <w:p w14:paraId="3F0B565A" w14:textId="77777777" w:rsidR="00950499" w:rsidRPr="003A2857" w:rsidRDefault="005541ED">
      <w:pPr>
        <w:pStyle w:val="20"/>
        <w:spacing w:before="0" w:after="0" w:line="520" w:lineRule="atLeast"/>
        <w:ind w:left="0" w:firstLine="480"/>
        <w:rPr>
          <w:rFonts w:hAnsi="宋体"/>
          <w:color w:val="000000" w:themeColor="text1"/>
          <w:sz w:val="21"/>
          <w:szCs w:val="21"/>
        </w:rPr>
      </w:pPr>
      <w:r w:rsidRPr="003A2857">
        <w:rPr>
          <w:rFonts w:hAnsi="宋体" w:hint="eastAsia"/>
          <w:color w:val="000000" w:themeColor="text1"/>
          <w:sz w:val="21"/>
          <w:szCs w:val="21"/>
        </w:rPr>
        <w:t>场外资金对外投资划款由基金托管人凭基金管理人符合本托管协议约定的有效资金划拨指令和相关投资合同（如有）进行资金划拨；场外投资本金及收益的划回，由管理人负责协调相关资金划拨回产品托管户事宜。</w:t>
      </w:r>
    </w:p>
    <w:p w14:paraId="30FC8A58" w14:textId="77777777" w:rsidR="00950499" w:rsidRPr="003A2857" w:rsidRDefault="005541ED">
      <w:pPr>
        <w:pStyle w:val="20"/>
        <w:spacing w:before="0" w:after="0" w:line="520" w:lineRule="atLeast"/>
        <w:rPr>
          <w:rFonts w:hAnsi="宋体"/>
          <w:color w:val="000000" w:themeColor="text1"/>
          <w:sz w:val="21"/>
          <w:szCs w:val="21"/>
        </w:rPr>
      </w:pPr>
      <w:r w:rsidRPr="003A2857">
        <w:rPr>
          <w:rFonts w:hAnsi="宋体" w:hint="eastAsia"/>
          <w:color w:val="000000" w:themeColor="text1"/>
          <w:sz w:val="21"/>
          <w:szCs w:val="21"/>
        </w:rPr>
        <w:t>7.3资金、证券账目及交易记录的核对</w:t>
      </w:r>
    </w:p>
    <w:p w14:paraId="63542F07" w14:textId="3CBDBACE"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7.3.1基金管理人与基金托管人按日进行交易记录的核对。每日对外披露</w:t>
      </w:r>
      <w:r w:rsidR="009C26D3">
        <w:rPr>
          <w:rFonts w:hAnsi="宋体" w:hint="eastAsia"/>
          <w:color w:val="000000" w:themeColor="text1"/>
          <w:sz w:val="21"/>
          <w:szCs w:val="21"/>
        </w:rPr>
        <w:t>各类</w:t>
      </w:r>
      <w:r w:rsidRPr="003A2857">
        <w:rPr>
          <w:rFonts w:hAnsi="宋体" w:hint="eastAsia"/>
          <w:color w:val="000000" w:themeColor="text1"/>
          <w:sz w:val="21"/>
          <w:szCs w:val="21"/>
        </w:rPr>
        <w:t>基金份额净值之前，必须保证当天所有实际交易记录与基金会计账簿上的交易记录完全一致。如果实际交易记录与会计账簿记录不一致，造成基金会计核算不完整或不真实，由此导致的损失由责任方承担。</w:t>
      </w:r>
    </w:p>
    <w:p w14:paraId="2F9D1050"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7.3.2对基金的资金账目，由相关各方每日对账一次，确保相关各方账账相符。对基金证券账目，由相关各方每日进行对账。对实物券账目，每月月末由相关各方进行账实核对。</w:t>
      </w:r>
      <w:r w:rsidRPr="003A2857">
        <w:rPr>
          <w:rFonts w:hAnsi="宋体" w:hint="eastAsia"/>
          <w:color w:val="000000" w:themeColor="text1"/>
          <w:sz w:val="21"/>
          <w:szCs w:val="21"/>
        </w:rPr>
        <w:lastRenderedPageBreak/>
        <w:t>对交易记录，由相关各方每日对账一次。</w:t>
      </w:r>
    </w:p>
    <w:p w14:paraId="37878EB3"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7.4申购、赎回、转换开放式基金的资金清算、数据传递及基金管理人、基金托管人的责任</w:t>
      </w:r>
    </w:p>
    <w:p w14:paraId="667A475C"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7.4.1基金管理人和基金托管人在基金的申购赎回、转换中的责任</w:t>
      </w:r>
    </w:p>
    <w:p w14:paraId="7C10888F"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基金投资人可通过基金管理人的直销中心和销售机构的代销网点进行申购和赎回申请，基金份额申购、赎回的确认、清算由基金管理人或其委托的登记机构负责。基金托管人负责接收并确认资金的到账情况，以及依照基金管理人的投资指令划付赎回款项。</w:t>
      </w:r>
    </w:p>
    <w:p w14:paraId="2153C49F" w14:textId="77777777" w:rsidR="00950499" w:rsidRPr="003A2857" w:rsidRDefault="005541ED">
      <w:pPr>
        <w:pStyle w:val="20"/>
        <w:spacing w:before="0" w:after="0" w:line="520" w:lineRule="atLeast"/>
        <w:rPr>
          <w:rFonts w:hAnsi="宋体"/>
          <w:color w:val="000000" w:themeColor="text1"/>
          <w:sz w:val="21"/>
          <w:szCs w:val="21"/>
        </w:rPr>
      </w:pPr>
      <w:r w:rsidRPr="003A2857">
        <w:rPr>
          <w:rFonts w:hAnsi="宋体" w:hint="eastAsia"/>
          <w:color w:val="000000" w:themeColor="text1"/>
          <w:sz w:val="21"/>
          <w:szCs w:val="21"/>
        </w:rPr>
        <w:t>7.4.2基金的数据传递</w:t>
      </w:r>
    </w:p>
    <w:p w14:paraId="25AAC62E"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基金管理人应保证本基金（或本基金管理人委托）的登记机构于每个开放日15：00之前将本基金的申购、赎回、转换的数据传送给基金托管人。基金管理人应对传递的数据的真实性、准确性和完整性负责。</w:t>
      </w:r>
    </w:p>
    <w:p w14:paraId="238191F4"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登记机构应通过与基金管理人建立的系统发送有关数据，如因各种原因，该系统无法正常发送，双方可协商解决处理方式。</w:t>
      </w:r>
    </w:p>
    <w:p w14:paraId="3CC8FCCE" w14:textId="77777777" w:rsidR="00950499" w:rsidRPr="003A2857" w:rsidRDefault="005541ED">
      <w:pPr>
        <w:pStyle w:val="20"/>
        <w:spacing w:before="0" w:after="0" w:line="520" w:lineRule="atLeast"/>
        <w:rPr>
          <w:rFonts w:hAnsi="宋体"/>
          <w:color w:val="000000" w:themeColor="text1"/>
          <w:sz w:val="21"/>
          <w:szCs w:val="21"/>
        </w:rPr>
      </w:pPr>
      <w:r w:rsidRPr="003A2857">
        <w:rPr>
          <w:rFonts w:hAnsi="宋体" w:hint="eastAsia"/>
          <w:color w:val="000000" w:themeColor="text1"/>
          <w:sz w:val="21"/>
          <w:szCs w:val="21"/>
        </w:rPr>
        <w:t>7.4.3基金的资金清算</w:t>
      </w:r>
    </w:p>
    <w:p w14:paraId="05974966" w14:textId="77777777" w:rsidR="00950499" w:rsidRPr="003A2857" w:rsidRDefault="005541ED">
      <w:pPr>
        <w:pStyle w:val="20"/>
        <w:spacing w:before="0" w:after="0" w:line="520" w:lineRule="atLeast"/>
        <w:ind w:left="0"/>
        <w:rPr>
          <w:rFonts w:hAnsi="宋体"/>
          <w:color w:val="000000" w:themeColor="text1"/>
          <w:sz w:val="21"/>
          <w:szCs w:val="21"/>
        </w:rPr>
      </w:pPr>
      <w:r w:rsidRPr="003A2857">
        <w:rPr>
          <w:rFonts w:hAnsi="宋体" w:hint="eastAsia"/>
          <w:color w:val="000000" w:themeColor="text1"/>
          <w:sz w:val="21"/>
          <w:szCs w:val="21"/>
        </w:rPr>
        <w:t xml:space="preserve">    基金托管专户与“基金清算账户”间的资金结算遵循“全额清算、净额交收”的原则，每日按照托管专户应收资金与应付资金的差额来确定托管专户净应收额或净应付额，以此确定资金交收额。</w:t>
      </w:r>
    </w:p>
    <w:p w14:paraId="17E78A60" w14:textId="5996B1FB"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如果当日基金为净应收款，基金托管人应在</w:t>
      </w:r>
      <w:bookmarkStart w:id="27" w:name="OLE_LINK3"/>
      <w:r w:rsidR="00D720B5">
        <w:rPr>
          <w:rFonts w:hAnsi="宋体" w:hint="eastAsia"/>
          <w:color w:val="000000" w:themeColor="text1"/>
          <w:sz w:val="21"/>
          <w:szCs w:val="21"/>
        </w:rPr>
        <w:t>交收当</w:t>
      </w:r>
      <w:bookmarkEnd w:id="27"/>
      <w:r w:rsidRPr="003A2857">
        <w:rPr>
          <w:rFonts w:hAnsi="宋体" w:hint="eastAsia"/>
          <w:color w:val="000000" w:themeColor="text1"/>
          <w:sz w:val="21"/>
          <w:szCs w:val="21"/>
        </w:rPr>
        <w:t>日15:00之前查收资金是否到账，对于未准时到账的资金，基金托管人应及时通知基金管理人划付。如果当日基金为净应付款，基金托管人应根据基金管理人的指令</w:t>
      </w:r>
      <w:r w:rsidR="00D720B5">
        <w:rPr>
          <w:rFonts w:hAnsi="宋体" w:hint="eastAsia"/>
          <w:color w:val="000000" w:themeColor="text1"/>
          <w:sz w:val="21"/>
          <w:szCs w:val="21"/>
        </w:rPr>
        <w:t>交收当</w:t>
      </w:r>
      <w:r w:rsidRPr="003A2857">
        <w:rPr>
          <w:rFonts w:hAnsi="宋体" w:hint="eastAsia"/>
          <w:color w:val="000000" w:themeColor="text1"/>
          <w:sz w:val="21"/>
          <w:szCs w:val="21"/>
        </w:rPr>
        <w:t>日中午12:00前进行划付，对于未准时划付的资金，基金管理人应及时通知基金托管人划付。因基金托管专户没有足够的资金，导致基金托管人不能按时拨付，基金托管人应及时通知基金管理人。</w:t>
      </w:r>
    </w:p>
    <w:p w14:paraId="28B440D2" w14:textId="77777777" w:rsidR="00950499" w:rsidRPr="003A2857" w:rsidRDefault="005541ED" w:rsidP="00FB2E71">
      <w:pPr>
        <w:pStyle w:val="1"/>
        <w:spacing w:line="520" w:lineRule="atLeast"/>
        <w:ind w:firstLineChars="200" w:firstLine="422"/>
        <w:rPr>
          <w:bCs/>
          <w:color w:val="000000" w:themeColor="text1"/>
          <w:sz w:val="21"/>
          <w:szCs w:val="21"/>
        </w:rPr>
      </w:pPr>
      <w:bookmarkStart w:id="28" w:name="_Toc296551344"/>
      <w:bookmarkStart w:id="29" w:name="_Toc200545740"/>
      <w:r w:rsidRPr="003A2857">
        <w:rPr>
          <w:rFonts w:hint="eastAsia"/>
          <w:bCs/>
          <w:color w:val="000000" w:themeColor="text1"/>
          <w:sz w:val="21"/>
          <w:szCs w:val="21"/>
        </w:rPr>
        <w:t>第八条 基金净值计算和会计核算</w:t>
      </w:r>
      <w:bookmarkEnd w:id="28"/>
      <w:bookmarkEnd w:id="29"/>
    </w:p>
    <w:p w14:paraId="262777C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8.1基金净值的计算、复核的时间和程序</w:t>
      </w:r>
    </w:p>
    <w:p w14:paraId="5329FB2F" w14:textId="6526D4CF"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8.1.1</w:t>
      </w:r>
      <w:r w:rsidR="009D6689" w:rsidRPr="003A2857">
        <w:rPr>
          <w:rFonts w:hAnsi="宋体" w:hint="eastAsia"/>
          <w:color w:val="000000" w:themeColor="text1"/>
          <w:sz w:val="21"/>
          <w:szCs w:val="21"/>
        </w:rPr>
        <w:t>基金资产净值是指基金资产总值减去基金负债后的价值。</w:t>
      </w:r>
      <w:r w:rsidR="00670326" w:rsidRPr="00670326">
        <w:rPr>
          <w:rFonts w:hAnsi="宋体" w:hint="eastAsia"/>
          <w:color w:val="000000" w:themeColor="text1"/>
          <w:sz w:val="21"/>
          <w:szCs w:val="21"/>
        </w:rPr>
        <w:t>各类基金份额净值是按照每个</w:t>
      </w:r>
      <w:r w:rsidR="00C51E98">
        <w:rPr>
          <w:rFonts w:hAnsi="宋体" w:hint="eastAsia"/>
          <w:color w:val="000000" w:themeColor="text1"/>
          <w:sz w:val="21"/>
          <w:szCs w:val="21"/>
        </w:rPr>
        <w:t>工作</w:t>
      </w:r>
      <w:r w:rsidR="00670326" w:rsidRPr="00670326">
        <w:rPr>
          <w:rFonts w:hAnsi="宋体" w:hint="eastAsia"/>
          <w:color w:val="000000" w:themeColor="text1"/>
          <w:sz w:val="21"/>
          <w:szCs w:val="21"/>
        </w:rPr>
        <w:t xml:space="preserve">日闭市后，该类基金资产净值除以当日该类基金份额的余额数量计算，均精确到 </w:t>
      </w:r>
      <w:r w:rsidR="00670326" w:rsidRPr="00670326">
        <w:rPr>
          <w:rFonts w:hAnsi="宋体" w:hint="eastAsia"/>
          <w:color w:val="000000" w:themeColor="text1"/>
          <w:sz w:val="21"/>
          <w:szCs w:val="21"/>
        </w:rPr>
        <w:lastRenderedPageBreak/>
        <w:t>0.0001元，小数点后第5位四舍五入，由此产生的误差计入基金财产。基金管理人可以设立大额赎回情形下的净值精度应急调整机制。国家另有规定的，从其规定。</w:t>
      </w:r>
    </w:p>
    <w:p w14:paraId="0C960C46" w14:textId="0536DF2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8.1.2</w:t>
      </w:r>
      <w:r w:rsidR="00670326" w:rsidRPr="00670326">
        <w:rPr>
          <w:rFonts w:hAnsi="宋体"/>
          <w:color w:val="000000" w:themeColor="text1"/>
          <w:sz w:val="21"/>
          <w:szCs w:val="21"/>
        </w:rPr>
        <w:t>基金管理人应每个估值日对基金资产估值。但基金管理人根据法律法规或基金合同的规定暂停估值时除外。基金管理人每个估值日对基金资产估值后，将各类基金份额净值结果发送基金托管人，经基金托管人复核无误后，由基金管理人按规定对外公布。</w:t>
      </w:r>
    </w:p>
    <w:p w14:paraId="736196DE"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8.1.3根据《基金法》，基金管理人计算并公告基金净值，基金托管人复核、审查基金管理人计算的基金净值。因此，本基金的会计责任方是基金管理人，就与本基金有关的会计问题，如经相关各方在平等基础上充分讨论后，仍无法达成一致意见</w:t>
      </w:r>
      <w:r w:rsidR="00BC64D1" w:rsidRPr="003A2857">
        <w:rPr>
          <w:rFonts w:hAnsi="宋体" w:hint="eastAsia"/>
          <w:color w:val="000000" w:themeColor="text1"/>
          <w:sz w:val="21"/>
          <w:szCs w:val="21"/>
        </w:rPr>
        <w:t>的</w:t>
      </w:r>
      <w:r w:rsidRPr="003A2857">
        <w:rPr>
          <w:rFonts w:hAnsi="宋体" w:hint="eastAsia"/>
          <w:color w:val="000000" w:themeColor="text1"/>
          <w:sz w:val="21"/>
          <w:szCs w:val="21"/>
        </w:rPr>
        <w:t>，按照基金管理人对基金净值</w:t>
      </w:r>
      <w:r w:rsidR="00212D46" w:rsidRPr="003A2857">
        <w:rPr>
          <w:rFonts w:hAnsi="宋体" w:hint="eastAsia"/>
          <w:color w:val="000000" w:themeColor="text1"/>
          <w:sz w:val="21"/>
          <w:szCs w:val="21"/>
        </w:rPr>
        <w:t>信息</w:t>
      </w:r>
      <w:r w:rsidRPr="003A2857">
        <w:rPr>
          <w:rFonts w:hAnsi="宋体" w:hint="eastAsia"/>
          <w:color w:val="000000" w:themeColor="text1"/>
          <w:sz w:val="21"/>
          <w:szCs w:val="21"/>
        </w:rPr>
        <w:t>的计算结果对外予以公布。</w:t>
      </w:r>
    </w:p>
    <w:p w14:paraId="01E5C0C2"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8.2基金资产估值方法</w:t>
      </w:r>
    </w:p>
    <w:p w14:paraId="66207A9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8.2.1估值对象</w:t>
      </w:r>
    </w:p>
    <w:p w14:paraId="070AC6FA" w14:textId="70C6D451" w:rsidR="00950499" w:rsidRPr="003A2857" w:rsidRDefault="00670326" w:rsidP="00FB2E71">
      <w:pPr>
        <w:pStyle w:val="20"/>
        <w:spacing w:before="0" w:after="0" w:line="520" w:lineRule="atLeast"/>
        <w:ind w:left="0" w:firstLineChars="200" w:firstLine="420"/>
        <w:rPr>
          <w:rFonts w:hAnsi="宋体"/>
          <w:color w:val="000000" w:themeColor="text1"/>
          <w:sz w:val="21"/>
          <w:szCs w:val="21"/>
        </w:rPr>
      </w:pPr>
      <w:r w:rsidRPr="00670326">
        <w:rPr>
          <w:rFonts w:hAnsi="宋体" w:hint="eastAsia"/>
          <w:color w:val="000000" w:themeColor="text1"/>
          <w:sz w:val="21"/>
          <w:szCs w:val="21"/>
        </w:rPr>
        <w:t>基金所拥有的股票、债券、货币市场工具、资产支持证券、股指期货、国债期货、股票期权、银行存款本息、应收款项、其他投资等资产及负债。</w:t>
      </w:r>
    </w:p>
    <w:p w14:paraId="4380151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8.2.2估值方法</w:t>
      </w:r>
    </w:p>
    <w:p w14:paraId="6DEF3DF2" w14:textId="77777777" w:rsidR="00670326" w:rsidRPr="000A6174" w:rsidRDefault="005541ED" w:rsidP="000A6174">
      <w:pPr>
        <w:pStyle w:val="20"/>
        <w:spacing w:before="0" w:after="0" w:line="520" w:lineRule="atLeast"/>
        <w:ind w:left="0" w:firstLineChars="200" w:firstLine="420"/>
        <w:rPr>
          <w:rFonts w:hAnsi="宋体"/>
          <w:color w:val="000000" w:themeColor="text1"/>
          <w:sz w:val="21"/>
          <w:szCs w:val="21"/>
        </w:rPr>
      </w:pPr>
      <w:r w:rsidRPr="000A6174">
        <w:rPr>
          <w:rFonts w:hAnsi="宋体" w:hint="eastAsia"/>
          <w:color w:val="000000" w:themeColor="text1"/>
          <w:sz w:val="21"/>
          <w:szCs w:val="21"/>
        </w:rPr>
        <w:t xml:space="preserve">   </w:t>
      </w:r>
      <w:r w:rsidR="00670326" w:rsidRPr="000A6174">
        <w:rPr>
          <w:rFonts w:hAnsi="宋体"/>
          <w:color w:val="000000" w:themeColor="text1"/>
          <w:sz w:val="21"/>
          <w:szCs w:val="21"/>
        </w:rPr>
        <w:t>1、证券交易所上市的有价证券的估值</w:t>
      </w:r>
    </w:p>
    <w:p w14:paraId="0E28645A"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交易所上市的有价证券（包括股票等），以其估值日在证券交易所挂牌的市价（收盘价）估值；估值日无交易的，且最近交易日后经济环境未发生重大变化以及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E9E98DA"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（2）交易所上市交易或挂牌转让的不含权固定收益品种，选取估值日第三方估值机构提供的相应品种当日的估值全价进行估值。</w:t>
      </w:r>
    </w:p>
    <w:p w14:paraId="655AB9F6"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（3）交易所上市交易或挂牌转让的含权固定收益品种，选取估值日第三方估值机构提供的相应品种当日的唯一估值全价或推荐估值全价进行估值。</w:t>
      </w:r>
    </w:p>
    <w:p w14:paraId="649CF93E"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（4）交易所市场上市交易的公开发行的可转换债券等有活跃市场的含转股权的债券，实行全价交易的债券选取估值日收盘价作为估值全价；实行净价交易的债券选取估值日收盘</w:t>
      </w:r>
      <w:r w:rsidRPr="000A6174">
        <w:rPr>
          <w:rFonts w:hAnsi="宋体"/>
          <w:color w:val="000000" w:themeColor="text1"/>
          <w:sz w:val="21"/>
          <w:szCs w:val="21"/>
        </w:rPr>
        <w:lastRenderedPageBreak/>
        <w:t>价并加计每百元税前应计利息作为估值全价。</w:t>
      </w:r>
    </w:p>
    <w:p w14:paraId="67D41C76" w14:textId="6B0A9E65"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w:t>
      </w:r>
      <w:r w:rsidR="00C51E98">
        <w:rPr>
          <w:rFonts w:hAnsi="宋体"/>
          <w:color w:val="000000" w:themeColor="text1"/>
          <w:sz w:val="21"/>
          <w:szCs w:val="21"/>
        </w:rPr>
        <w:t>5</w:t>
      </w:r>
      <w:r w:rsidRPr="000A6174">
        <w:rPr>
          <w:rFonts w:hAnsi="宋体"/>
          <w:color w:val="000000" w:themeColor="text1"/>
          <w:sz w:val="21"/>
          <w:szCs w:val="21"/>
        </w:rPr>
        <w:t>）交易所上市不存在活跃市场的有价证券，采用估值技术确定公允价值。交易所市场挂牌转让的资产支持证券，采用估值技术确定公允价值。</w:t>
      </w:r>
    </w:p>
    <w:p w14:paraId="4F54C3FE" w14:textId="609E627E"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w:t>
      </w:r>
      <w:r w:rsidR="00C51E98">
        <w:rPr>
          <w:rFonts w:hAnsi="宋体"/>
          <w:color w:val="000000" w:themeColor="text1"/>
          <w:sz w:val="21"/>
          <w:szCs w:val="21"/>
        </w:rPr>
        <w:t>6</w:t>
      </w:r>
      <w:r w:rsidRPr="000A6174">
        <w:rPr>
          <w:rFonts w:hAnsi="宋体"/>
          <w:color w:val="000000" w:themeColor="text1"/>
          <w:sz w:val="21"/>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1EFBB0C"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2、处于未上市期间的有价证券应区分如下情况处理：</w:t>
      </w:r>
    </w:p>
    <w:p w14:paraId="64E771AE"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（1）送股、转增股、配股和公开增发的新股，按估值日在证券交易所挂牌的同一股票的估值方法估值；该日无交易的，以最近一日的市价（收盘价）估值。</w:t>
      </w:r>
    </w:p>
    <w:p w14:paraId="1E011481"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（2）首次公开发行未上市的股票、债券，采用估值技术确定公允价值。</w:t>
      </w:r>
    </w:p>
    <w:p w14:paraId="2A7C5FBF"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3）在发行时明确一定期限限售期的股票，包括但不限于非公开发行股票、公开发行有一定锁定期的股票、首次公开发行股票时公司股东公开发售股份、通过大宗交易取得的带限售期的股票等，不包括停牌、新发行未上市、回购交易中的质押券等流通受限股票，按监管机构或行业协会有关规定确定公允价值。</w:t>
      </w:r>
    </w:p>
    <w:p w14:paraId="0071F5C9"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3、对全国银行间市场上不含权的固定收益品种，按照第三方估值机构提供的相应品种当日的估值全价估值。对银行间市场上含权的固定收益品种，按照第三方估值机构提供的相应品种当日的唯一估值全价或推荐估值全价估值。对于未上市或未挂牌转让且不存在活跃市场的固定收益品种，采用估值技术确定其公允价值。</w:t>
      </w:r>
    </w:p>
    <w:p w14:paraId="2EEED9DE"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4、对于含投资人回售权的固定收益品种，行使回售权的，在回售登记日至实际收款日期间采用第三方估值机构提供的相应品种的唯一估值全价或推荐估值全价估值。回售登记期截止日（含当日）后未行使回售权的按照长待偿期所对应的价格进行估值。</w:t>
      </w:r>
    </w:p>
    <w:p w14:paraId="1C28D5D2"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5、同一证券同时在两个或两个以上市场交易的，按证券所处的市场分别估值。</w:t>
      </w:r>
    </w:p>
    <w:p w14:paraId="659F92CB"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6、上述第三方估值机构提供的估值全价指第三方估值机构直接提供的估值全价或第三方估值机构提供的估值净价加每百元应计利息。</w:t>
      </w:r>
    </w:p>
    <w:p w14:paraId="35CF7277"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7、存款的估值方法</w:t>
      </w:r>
    </w:p>
    <w:p w14:paraId="726712FF"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lastRenderedPageBreak/>
        <w:t>持有的银行定期存款或通知存款以本金列示，按协议或合同利率逐日确认利息收入。</w:t>
      </w:r>
    </w:p>
    <w:p w14:paraId="7750C3AF"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8、投资证券衍生品的估值方法</w:t>
      </w:r>
    </w:p>
    <w:p w14:paraId="707004EF"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（1）股指期货、国债期货合约，一般以估值当日结算价进行估值，估值当日无结算价的，且最近交易日后经济环境未发生重大变化的，采用最近交易日结算价估值。</w:t>
      </w:r>
    </w:p>
    <w:p w14:paraId="147A487A"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（2）本基金投资股票期权，根据相关法律法规以及监管部门的规定估值。</w:t>
      </w:r>
    </w:p>
    <w:p w14:paraId="323B2958"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9、人民币对主要外汇的汇率应当以估值日中国人民银行或其授权机构公布的人民币汇率中间价为准。</w:t>
      </w:r>
    </w:p>
    <w:p w14:paraId="22ADD137" w14:textId="37356653"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bookmarkStart w:id="30" w:name="_Hlk99460342"/>
      <w:r w:rsidRPr="000A6174">
        <w:rPr>
          <w:rFonts w:hAnsi="宋体"/>
          <w:color w:val="000000" w:themeColor="text1"/>
          <w:sz w:val="21"/>
          <w:szCs w:val="21"/>
        </w:rPr>
        <w:t>10、税收：按照相关法律法规、监管机构等的规定以及行业惯例进行处理。</w:t>
      </w:r>
    </w:p>
    <w:bookmarkEnd w:id="30"/>
    <w:p w14:paraId="013FDFF5"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11、本基金参与融资业务的，按照相关法律法规、监管部门和行业协会的相关规定进行估值。</w:t>
      </w:r>
    </w:p>
    <w:p w14:paraId="0A7F7D98"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12、本基金可以采用第三方估值机构按照上述公允价值确定原则提供的估值价格数据。</w:t>
      </w:r>
    </w:p>
    <w:p w14:paraId="5801DD8D"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13、本基金投资存托凭证的估值核算，依照境内上市交易的股票执行。</w:t>
      </w:r>
    </w:p>
    <w:p w14:paraId="5A9D4B71"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14、如有确凿证据表明按上述方法进行估值不能客观反映其公允价值的，基金管理人可根据具体情况与基金托管人商定后，按最能反映公允价值的价格估值。</w:t>
      </w:r>
    </w:p>
    <w:p w14:paraId="5F640EB5"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15、其他资产按法律法规或监管机构有关规定进行估值。</w:t>
      </w:r>
    </w:p>
    <w:p w14:paraId="1C951BBC"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16、当发生大额申购或赎回情形时，基金管理人可以采用摆动定价机制，以确保基金估值的公平性。</w:t>
      </w:r>
    </w:p>
    <w:p w14:paraId="1F55B6F1"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17、相关法律法规以及监管部门有强制规定的，从其规定。如有新增事项，按国家最新规定估值。</w:t>
      </w:r>
    </w:p>
    <w:p w14:paraId="36580582" w14:textId="77777777" w:rsidR="00670326" w:rsidRPr="000A6174"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062C8D59" w14:textId="69D80A6A" w:rsidR="00950499" w:rsidRPr="003A2857" w:rsidRDefault="00670326" w:rsidP="000A6174">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信息的计算结果对外予以公布。</w:t>
      </w:r>
    </w:p>
    <w:p w14:paraId="76373565" w14:textId="77777777" w:rsidR="00D94294" w:rsidRPr="000A6174" w:rsidRDefault="00236FA4" w:rsidP="00FB2E71">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lastRenderedPageBreak/>
        <w:t>8.2.3</w:t>
      </w:r>
      <w:r w:rsidR="00D94294" w:rsidRPr="000A6174">
        <w:rPr>
          <w:rFonts w:hAnsi="宋体"/>
          <w:color w:val="000000" w:themeColor="text1"/>
          <w:sz w:val="21"/>
          <w:szCs w:val="21"/>
        </w:rPr>
        <w:t>实施侧袋机制期间的基金资产估值</w:t>
      </w:r>
    </w:p>
    <w:p w14:paraId="3F084805" w14:textId="77777777" w:rsidR="00D94294" w:rsidRPr="000A6174" w:rsidRDefault="00D94294" w:rsidP="00FB2E71">
      <w:pPr>
        <w:pStyle w:val="20"/>
        <w:spacing w:before="0" w:after="0" w:line="520" w:lineRule="atLeast"/>
        <w:ind w:left="0" w:firstLineChars="200" w:firstLine="420"/>
        <w:rPr>
          <w:rFonts w:hAnsi="宋体"/>
          <w:color w:val="000000" w:themeColor="text1"/>
          <w:sz w:val="21"/>
          <w:szCs w:val="21"/>
        </w:rPr>
      </w:pPr>
      <w:r w:rsidRPr="000A6174">
        <w:rPr>
          <w:rFonts w:hAnsi="宋体"/>
          <w:color w:val="000000" w:themeColor="text1"/>
          <w:sz w:val="21"/>
          <w:szCs w:val="21"/>
        </w:rPr>
        <w:t>本基金实施侧袋机制的，应根据本部分的约定对主袋账户资产进行估值并披露主袋账户的基金净值信息，暂停披露侧袋账户份额净值。</w:t>
      </w:r>
    </w:p>
    <w:p w14:paraId="3BBFCA0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8.3估值差错处理</w:t>
      </w:r>
    </w:p>
    <w:p w14:paraId="3F165CD5" w14:textId="3A7B6145"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基金管理人和基金托管人将采取必要、适当、合理的措施确保基金资产估值的准确性、及时性。当任一类基金份额净值小数点后</w:t>
      </w:r>
      <w:r w:rsidRPr="00CD757A">
        <w:rPr>
          <w:rFonts w:hAnsi="宋体"/>
          <w:color w:val="000000" w:themeColor="text1"/>
          <w:sz w:val="21"/>
          <w:szCs w:val="21"/>
        </w:rPr>
        <w:t>4</w:t>
      </w:r>
      <w:r w:rsidRPr="00CD757A">
        <w:rPr>
          <w:rFonts w:hAnsi="宋体" w:hint="eastAsia"/>
          <w:color w:val="000000" w:themeColor="text1"/>
          <w:sz w:val="21"/>
          <w:szCs w:val="21"/>
        </w:rPr>
        <w:t>位以内（含第</w:t>
      </w:r>
      <w:r w:rsidRPr="00CD757A">
        <w:rPr>
          <w:rFonts w:hAnsi="宋体"/>
          <w:color w:val="000000" w:themeColor="text1"/>
          <w:sz w:val="21"/>
          <w:szCs w:val="21"/>
        </w:rPr>
        <w:t>4</w:t>
      </w:r>
      <w:r w:rsidRPr="00CD757A">
        <w:rPr>
          <w:rFonts w:hAnsi="宋体" w:hint="eastAsia"/>
          <w:color w:val="000000" w:themeColor="text1"/>
          <w:sz w:val="21"/>
          <w:szCs w:val="21"/>
        </w:rPr>
        <w:t>位）发生估值错误时，视为该类基金份额净值错误。当事人应按照以下约定处理：</w:t>
      </w:r>
    </w:p>
    <w:p w14:paraId="57F42BF9" w14:textId="763B75FB"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color w:val="000000" w:themeColor="text1"/>
          <w:sz w:val="21"/>
          <w:szCs w:val="21"/>
        </w:rPr>
        <w:t>8.3.1</w:t>
      </w:r>
      <w:r w:rsidRPr="00CD757A">
        <w:rPr>
          <w:rFonts w:hAnsi="宋体" w:hint="eastAsia"/>
          <w:color w:val="000000" w:themeColor="text1"/>
          <w:sz w:val="21"/>
          <w:szCs w:val="21"/>
        </w:rPr>
        <w:t>估值错误类型</w:t>
      </w:r>
    </w:p>
    <w:p w14:paraId="4D47CC11"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CD757A">
        <w:rPr>
          <w:rFonts w:hAnsi="宋体"/>
          <w:color w:val="000000" w:themeColor="text1"/>
          <w:sz w:val="21"/>
          <w:szCs w:val="21"/>
        </w:rPr>
        <w:t>“</w:t>
      </w:r>
      <w:r w:rsidRPr="00CD757A">
        <w:rPr>
          <w:rFonts w:hAnsi="宋体" w:hint="eastAsia"/>
          <w:color w:val="000000" w:themeColor="text1"/>
          <w:sz w:val="21"/>
          <w:szCs w:val="21"/>
        </w:rPr>
        <w:t>受损方</w:t>
      </w:r>
      <w:r w:rsidRPr="00CD757A">
        <w:rPr>
          <w:rFonts w:hAnsi="宋体"/>
          <w:color w:val="000000" w:themeColor="text1"/>
          <w:sz w:val="21"/>
          <w:szCs w:val="21"/>
        </w:rPr>
        <w:t>”</w:t>
      </w:r>
      <w:r w:rsidRPr="00CD757A">
        <w:rPr>
          <w:rFonts w:hAnsi="宋体" w:hint="eastAsia"/>
          <w:color w:val="000000" w:themeColor="text1"/>
          <w:sz w:val="21"/>
          <w:szCs w:val="21"/>
        </w:rPr>
        <w:t>）的直接损失按下述</w:t>
      </w:r>
      <w:r w:rsidRPr="00CD757A">
        <w:rPr>
          <w:rFonts w:hAnsi="宋体"/>
          <w:color w:val="000000" w:themeColor="text1"/>
          <w:sz w:val="21"/>
          <w:szCs w:val="21"/>
        </w:rPr>
        <w:t>“</w:t>
      </w:r>
      <w:r w:rsidRPr="00CD757A">
        <w:rPr>
          <w:rFonts w:hAnsi="宋体" w:hint="eastAsia"/>
          <w:color w:val="000000" w:themeColor="text1"/>
          <w:sz w:val="21"/>
          <w:szCs w:val="21"/>
        </w:rPr>
        <w:t>估值错误处理原则</w:t>
      </w:r>
      <w:r w:rsidRPr="00CD757A">
        <w:rPr>
          <w:rFonts w:hAnsi="宋体"/>
          <w:color w:val="000000" w:themeColor="text1"/>
          <w:sz w:val="21"/>
          <w:szCs w:val="21"/>
        </w:rPr>
        <w:t>”</w:t>
      </w:r>
      <w:r w:rsidRPr="00CD757A">
        <w:rPr>
          <w:rFonts w:hAnsi="宋体" w:hint="eastAsia"/>
          <w:color w:val="000000" w:themeColor="text1"/>
          <w:sz w:val="21"/>
          <w:szCs w:val="21"/>
        </w:rPr>
        <w:t>给予赔偿，承担赔偿责任。</w:t>
      </w:r>
    </w:p>
    <w:p w14:paraId="566C957F"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上述估值错误的主要类型包括但不限于：资料申报差错、数据传输差错、数据计算差错、系统故障差错、下达指令差错等。</w:t>
      </w:r>
    </w:p>
    <w:p w14:paraId="1EB00381" w14:textId="42D7A5FA"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color w:val="000000" w:themeColor="text1"/>
          <w:sz w:val="21"/>
          <w:szCs w:val="21"/>
        </w:rPr>
        <w:t>8.3.2</w:t>
      </w:r>
      <w:r w:rsidRPr="00CD757A">
        <w:rPr>
          <w:rFonts w:hAnsi="宋体" w:hint="eastAsia"/>
          <w:color w:val="000000" w:themeColor="text1"/>
          <w:sz w:val="21"/>
          <w:szCs w:val="21"/>
        </w:rPr>
        <w:t>估值错误处理原则</w:t>
      </w:r>
    </w:p>
    <w:p w14:paraId="61832196"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1</w:t>
      </w:r>
      <w:r w:rsidRPr="00CD757A">
        <w:rPr>
          <w:rFonts w:hAnsi="宋体" w:hint="eastAsia"/>
          <w:color w:val="000000" w:themeColor="text1"/>
          <w:sz w:val="21"/>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w:t>
      </w:r>
    </w:p>
    <w:p w14:paraId="7EAC5A65"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2</w:t>
      </w:r>
      <w:r w:rsidRPr="00CD757A">
        <w:rPr>
          <w:rFonts w:hAnsi="宋体" w:hint="eastAsia"/>
          <w:color w:val="000000" w:themeColor="text1"/>
          <w:sz w:val="21"/>
          <w:szCs w:val="21"/>
        </w:rPr>
        <w:t>）估值错误的责任方对有关当事人的直接损失负责，不对间接损失负责，并且仅对估值错误的有关直接当事人负责，不对第三方负责。</w:t>
      </w:r>
    </w:p>
    <w:p w14:paraId="3514CBE7"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3</w:t>
      </w:r>
      <w:r w:rsidRPr="00CD757A">
        <w:rPr>
          <w:rFonts w:hAnsi="宋体" w:hint="eastAsia"/>
          <w:color w:val="000000" w:themeColor="text1"/>
          <w:sz w:val="21"/>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D757A">
        <w:rPr>
          <w:rFonts w:hAnsi="宋体"/>
          <w:color w:val="000000" w:themeColor="text1"/>
          <w:sz w:val="21"/>
          <w:szCs w:val="21"/>
        </w:rPr>
        <w:t>“</w:t>
      </w:r>
      <w:r w:rsidRPr="00CD757A">
        <w:rPr>
          <w:rFonts w:hAnsi="宋体" w:hint="eastAsia"/>
          <w:color w:val="000000" w:themeColor="text1"/>
          <w:sz w:val="21"/>
          <w:szCs w:val="21"/>
        </w:rPr>
        <w:t>受损方</w:t>
      </w:r>
      <w:r w:rsidRPr="00CD757A">
        <w:rPr>
          <w:rFonts w:hAnsi="宋体"/>
          <w:color w:val="000000" w:themeColor="text1"/>
          <w:sz w:val="21"/>
          <w:szCs w:val="21"/>
        </w:rPr>
        <w:t>”</w:t>
      </w:r>
      <w:r w:rsidRPr="00CD757A">
        <w:rPr>
          <w:rFonts w:hAnsi="宋体" w:hint="eastAsia"/>
          <w:color w:val="000000" w:themeColor="text1"/>
          <w:sz w:val="21"/>
          <w:szCs w:val="21"/>
        </w:rPr>
        <w:t>），则估值错误责任方应赔偿受损方的损失，并在其支付的赔偿金额的范围内对获得不当得利的当事人享有要求交付不当得利的权利；如果获</w:t>
      </w:r>
      <w:r w:rsidRPr="00CD757A">
        <w:rPr>
          <w:rFonts w:hAnsi="宋体" w:hint="eastAsia"/>
          <w:color w:val="000000" w:themeColor="text1"/>
          <w:sz w:val="21"/>
          <w:szCs w:val="21"/>
        </w:rPr>
        <w:lastRenderedPageBreak/>
        <w:t>得不当得利的当事人已经将此部分不当得利返还给受损方，则受损方应当将其已经获得的赔偿额加上已经获得的不当得利返还的总和超过其实际损失的差额部分支付给估值错误责任方。</w:t>
      </w:r>
    </w:p>
    <w:p w14:paraId="79DF3674"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4</w:t>
      </w:r>
      <w:r w:rsidRPr="00CD757A">
        <w:rPr>
          <w:rFonts w:hAnsi="宋体" w:hint="eastAsia"/>
          <w:color w:val="000000" w:themeColor="text1"/>
          <w:sz w:val="21"/>
          <w:szCs w:val="21"/>
        </w:rPr>
        <w:t>）估值错误调整采用尽量恢复至假设未发生估值错误的正确情形的方式。</w:t>
      </w:r>
    </w:p>
    <w:p w14:paraId="033902AB" w14:textId="47C9E4D9"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color w:val="000000" w:themeColor="text1"/>
          <w:sz w:val="21"/>
          <w:szCs w:val="21"/>
        </w:rPr>
        <w:t>8.3.3</w:t>
      </w:r>
      <w:r w:rsidRPr="00CD757A">
        <w:rPr>
          <w:rFonts w:hAnsi="宋体" w:hint="eastAsia"/>
          <w:color w:val="000000" w:themeColor="text1"/>
          <w:sz w:val="21"/>
          <w:szCs w:val="21"/>
        </w:rPr>
        <w:t>估值错误处理程序</w:t>
      </w:r>
    </w:p>
    <w:p w14:paraId="3D281DC8"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估值错误被发现后，有关的当事人应当及时进行处理，处理的程序如下：</w:t>
      </w:r>
    </w:p>
    <w:p w14:paraId="470B5C52"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1</w:t>
      </w:r>
      <w:r w:rsidRPr="00CD757A">
        <w:rPr>
          <w:rFonts w:hAnsi="宋体" w:hint="eastAsia"/>
          <w:color w:val="000000" w:themeColor="text1"/>
          <w:sz w:val="21"/>
          <w:szCs w:val="21"/>
        </w:rPr>
        <w:t>）查明估值错误发生的原因，列明所有的当事人，并根据估值错误发生的原因确定估值错误的责任方。</w:t>
      </w:r>
    </w:p>
    <w:p w14:paraId="19E19E64"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2</w:t>
      </w:r>
      <w:r w:rsidRPr="00CD757A">
        <w:rPr>
          <w:rFonts w:hAnsi="宋体" w:hint="eastAsia"/>
          <w:color w:val="000000" w:themeColor="text1"/>
          <w:sz w:val="21"/>
          <w:szCs w:val="21"/>
        </w:rPr>
        <w:t>）根据估值错误处理原则或当事人协商的方法对因估值错误造成的损失进行评估。</w:t>
      </w:r>
    </w:p>
    <w:p w14:paraId="7F862BAE"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3</w:t>
      </w:r>
      <w:r w:rsidRPr="00CD757A">
        <w:rPr>
          <w:rFonts w:hAnsi="宋体" w:hint="eastAsia"/>
          <w:color w:val="000000" w:themeColor="text1"/>
          <w:sz w:val="21"/>
          <w:szCs w:val="21"/>
        </w:rPr>
        <w:t>）根据估值错误处理原则或当事人协商的方法由估值错误的责任方进行更正和赔偿损失。</w:t>
      </w:r>
    </w:p>
    <w:p w14:paraId="5946ABBE"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4</w:t>
      </w:r>
      <w:r w:rsidRPr="00CD757A">
        <w:rPr>
          <w:rFonts w:hAnsi="宋体" w:hint="eastAsia"/>
          <w:color w:val="000000" w:themeColor="text1"/>
          <w:sz w:val="21"/>
          <w:szCs w:val="21"/>
        </w:rPr>
        <w:t>）根据估值错误处理的方法，需要修改基金登记机构交易数据的，由基金登记机构进行更正。</w:t>
      </w:r>
    </w:p>
    <w:p w14:paraId="073789D8" w14:textId="35671B7D"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color w:val="000000" w:themeColor="text1"/>
          <w:sz w:val="21"/>
          <w:szCs w:val="21"/>
        </w:rPr>
        <w:t>8.3.4</w:t>
      </w:r>
      <w:r w:rsidRPr="00CD757A">
        <w:rPr>
          <w:rFonts w:hAnsi="宋体" w:hint="eastAsia"/>
          <w:color w:val="000000" w:themeColor="text1"/>
          <w:sz w:val="21"/>
          <w:szCs w:val="21"/>
        </w:rPr>
        <w:t>基金份额净值估值错误处理的方法如下：</w:t>
      </w:r>
    </w:p>
    <w:p w14:paraId="78AFD392"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1</w:t>
      </w:r>
      <w:r w:rsidRPr="00CD757A">
        <w:rPr>
          <w:rFonts w:hAnsi="宋体" w:hint="eastAsia"/>
          <w:color w:val="000000" w:themeColor="text1"/>
          <w:sz w:val="21"/>
          <w:szCs w:val="21"/>
        </w:rPr>
        <w:t>）基金份额净值计算出现错误时，基金管理人应当立即予以纠正，通报基金托管人，并采取合理的措施防止损失进一步扩大。</w:t>
      </w:r>
    </w:p>
    <w:p w14:paraId="0C547969"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w:t>
      </w:r>
      <w:r w:rsidRPr="00CD757A">
        <w:rPr>
          <w:rFonts w:hAnsi="宋体"/>
          <w:color w:val="000000" w:themeColor="text1"/>
          <w:sz w:val="21"/>
          <w:szCs w:val="21"/>
        </w:rPr>
        <w:t>2</w:t>
      </w:r>
      <w:r w:rsidRPr="00CD757A">
        <w:rPr>
          <w:rFonts w:hAnsi="宋体" w:hint="eastAsia"/>
          <w:color w:val="000000" w:themeColor="text1"/>
          <w:sz w:val="21"/>
          <w:szCs w:val="21"/>
        </w:rPr>
        <w:t>）错误偏差达到该类基金份额净值的</w:t>
      </w:r>
      <w:r w:rsidRPr="00CD757A">
        <w:rPr>
          <w:rFonts w:hAnsi="宋体"/>
          <w:color w:val="000000" w:themeColor="text1"/>
          <w:sz w:val="21"/>
          <w:szCs w:val="21"/>
        </w:rPr>
        <w:t>0.25%</w:t>
      </w:r>
      <w:r w:rsidRPr="00CD757A">
        <w:rPr>
          <w:rFonts w:hAnsi="宋体" w:hint="eastAsia"/>
          <w:color w:val="000000" w:themeColor="text1"/>
          <w:sz w:val="21"/>
          <w:szCs w:val="21"/>
        </w:rPr>
        <w:t>时，基金管理人应当通报基金托管人并报中国证监会备案；错误偏差达到该类基金份额净值的</w:t>
      </w:r>
      <w:r w:rsidRPr="00CD757A">
        <w:rPr>
          <w:rFonts w:hAnsi="宋体"/>
          <w:color w:val="000000" w:themeColor="text1"/>
          <w:sz w:val="21"/>
          <w:szCs w:val="21"/>
        </w:rPr>
        <w:t>0.5%</w:t>
      </w:r>
      <w:r w:rsidRPr="00CD757A">
        <w:rPr>
          <w:rFonts w:hAnsi="宋体" w:hint="eastAsia"/>
          <w:color w:val="000000" w:themeColor="text1"/>
          <w:sz w:val="21"/>
          <w:szCs w:val="21"/>
        </w:rPr>
        <w:t>时，基金管理人应当公告</w:t>
      </w:r>
      <w:bookmarkStart w:id="31" w:name="_Hlk38561863"/>
      <w:r w:rsidRPr="00CD757A">
        <w:rPr>
          <w:rFonts w:hAnsi="宋体" w:hint="eastAsia"/>
          <w:color w:val="000000" w:themeColor="text1"/>
          <w:sz w:val="21"/>
          <w:szCs w:val="21"/>
        </w:rPr>
        <w:t>，并报中国证监会备案</w:t>
      </w:r>
      <w:bookmarkEnd w:id="31"/>
      <w:r w:rsidRPr="00CD757A">
        <w:rPr>
          <w:rFonts w:hAnsi="宋体" w:hint="eastAsia"/>
          <w:color w:val="000000" w:themeColor="text1"/>
          <w:sz w:val="21"/>
          <w:szCs w:val="21"/>
        </w:rPr>
        <w:t>。</w:t>
      </w:r>
    </w:p>
    <w:p w14:paraId="244182F4" w14:textId="650323C8" w:rsidR="00950499" w:rsidRPr="003A2857" w:rsidRDefault="002D0533" w:rsidP="00FB2E71">
      <w:pPr>
        <w:pStyle w:val="20"/>
        <w:spacing w:before="0" w:after="0" w:line="520" w:lineRule="atLeast"/>
        <w:ind w:left="0" w:firstLineChars="200" w:firstLine="420"/>
        <w:rPr>
          <w:rFonts w:hAnsi="宋体"/>
          <w:color w:val="000000" w:themeColor="text1"/>
          <w:sz w:val="21"/>
          <w:szCs w:val="21"/>
        </w:rPr>
      </w:pPr>
      <w:r w:rsidRPr="00CD757A">
        <w:rPr>
          <w:rFonts w:hAnsi="宋体" w:hint="eastAsia"/>
          <w:color w:val="000000" w:themeColor="text1"/>
          <w:sz w:val="21"/>
          <w:szCs w:val="21"/>
        </w:rPr>
        <w:t>（3）前述内容如法律法规或监管机关另有规定的，从其规定处理。</w:t>
      </w:r>
      <w:r w:rsidR="005541ED" w:rsidRPr="003A2857">
        <w:rPr>
          <w:rFonts w:hAnsi="宋体" w:hint="eastAsia"/>
          <w:color w:val="000000" w:themeColor="text1"/>
          <w:sz w:val="21"/>
          <w:szCs w:val="21"/>
        </w:rPr>
        <w:t>8.4基金账册的建立</w:t>
      </w:r>
    </w:p>
    <w:p w14:paraId="00498FA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8.4.1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2118B84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8.4.2经对账发现相关各方的账目存在不符的，基金管理人和基金托管人必须及时查明原因并纠正，保证相关各方平行登录的账册记录完全相符。若当日核对不符，暂时无法查找</w:t>
      </w:r>
      <w:r w:rsidRPr="003A2857">
        <w:rPr>
          <w:rFonts w:hAnsi="宋体" w:hint="eastAsia"/>
          <w:color w:val="000000" w:themeColor="text1"/>
          <w:sz w:val="21"/>
          <w:szCs w:val="21"/>
        </w:rPr>
        <w:lastRenderedPageBreak/>
        <w:t>到错账的原因而影响到基金净值的计算和公告的，以基金管理人的账册为准。</w:t>
      </w:r>
    </w:p>
    <w:p w14:paraId="4C6382D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8.5基金定期报告的编制和复核</w:t>
      </w:r>
    </w:p>
    <w:p w14:paraId="209F800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8.5.1基金财务报告由基金管理人编制，</w:t>
      </w:r>
      <w:r w:rsidRPr="003A2857">
        <w:rPr>
          <w:rFonts w:hAnsi="宋体"/>
          <w:color w:val="000000" w:themeColor="text1"/>
          <w:sz w:val="21"/>
          <w:szCs w:val="21"/>
        </w:rPr>
        <w:t>基金托管人</w:t>
      </w:r>
      <w:r w:rsidRPr="003A2857">
        <w:rPr>
          <w:rFonts w:hAnsi="宋体" w:hint="eastAsia"/>
          <w:color w:val="000000" w:themeColor="text1"/>
          <w:sz w:val="21"/>
          <w:szCs w:val="21"/>
        </w:rPr>
        <w:t>复核。月度报告的编制，应于每月终了后5个工作日内完成。</w:t>
      </w:r>
    </w:p>
    <w:p w14:paraId="21FF1AB5"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8.5.2基金管理人应当在每年结束之日起三个月内，编制完成基金年度报告，将年度报告登载在</w:t>
      </w:r>
      <w:r w:rsidR="00970199" w:rsidRPr="003A2857">
        <w:rPr>
          <w:rFonts w:hAnsi="宋体" w:hint="eastAsia"/>
          <w:color w:val="000000" w:themeColor="text1"/>
          <w:sz w:val="21"/>
          <w:szCs w:val="21"/>
        </w:rPr>
        <w:t>规定</w:t>
      </w:r>
      <w:r w:rsidRPr="003A2857">
        <w:rPr>
          <w:rFonts w:hAnsi="宋体" w:hint="eastAsia"/>
          <w:color w:val="000000" w:themeColor="text1"/>
          <w:sz w:val="21"/>
          <w:szCs w:val="21"/>
        </w:rPr>
        <w:t>网站上，并将年度报告提示性公告登载在</w:t>
      </w:r>
      <w:r w:rsidR="00970199" w:rsidRPr="003A2857">
        <w:rPr>
          <w:rFonts w:hAnsi="宋体" w:hint="eastAsia"/>
          <w:color w:val="000000" w:themeColor="text1"/>
          <w:sz w:val="21"/>
          <w:szCs w:val="21"/>
        </w:rPr>
        <w:t>规定</w:t>
      </w:r>
      <w:r w:rsidRPr="003A2857">
        <w:rPr>
          <w:rFonts w:hAnsi="宋体" w:hint="eastAsia"/>
          <w:color w:val="000000" w:themeColor="text1"/>
          <w:sz w:val="21"/>
          <w:szCs w:val="21"/>
        </w:rPr>
        <w:t>报刊上。基金年度报告中的财务会计报告应当经过</w:t>
      </w:r>
      <w:r w:rsidR="00E07B2D" w:rsidRPr="003A2857">
        <w:rPr>
          <w:rFonts w:hAnsi="宋体" w:hint="eastAsia"/>
          <w:color w:val="000000" w:themeColor="text1"/>
          <w:sz w:val="21"/>
          <w:szCs w:val="21"/>
        </w:rPr>
        <w:t>符合《证券法》规定</w:t>
      </w:r>
      <w:r w:rsidRPr="003A2857">
        <w:rPr>
          <w:rFonts w:hAnsi="宋体" w:hint="eastAsia"/>
          <w:color w:val="000000" w:themeColor="text1"/>
          <w:sz w:val="21"/>
          <w:szCs w:val="21"/>
        </w:rPr>
        <w:t>的会计师事务所审计。基金管理人应当在上半年结束之日起两个月内，编制完成基金中期报告，将中期报告登载在</w:t>
      </w:r>
      <w:r w:rsidR="00E07B2D" w:rsidRPr="003A2857">
        <w:rPr>
          <w:rFonts w:hAnsi="宋体" w:hint="eastAsia"/>
          <w:color w:val="000000" w:themeColor="text1"/>
          <w:sz w:val="21"/>
          <w:szCs w:val="21"/>
        </w:rPr>
        <w:t>规定</w:t>
      </w:r>
      <w:r w:rsidRPr="003A2857">
        <w:rPr>
          <w:rFonts w:hAnsi="宋体" w:hint="eastAsia"/>
          <w:color w:val="000000" w:themeColor="text1"/>
          <w:sz w:val="21"/>
          <w:szCs w:val="21"/>
        </w:rPr>
        <w:t>网站上，并将中期报告提示性公告登载在</w:t>
      </w:r>
      <w:r w:rsidR="00E07B2D" w:rsidRPr="003A2857">
        <w:rPr>
          <w:rFonts w:hAnsi="宋体" w:hint="eastAsia"/>
          <w:color w:val="000000" w:themeColor="text1"/>
          <w:sz w:val="21"/>
          <w:szCs w:val="21"/>
        </w:rPr>
        <w:t>规定</w:t>
      </w:r>
      <w:r w:rsidRPr="003A2857">
        <w:rPr>
          <w:rFonts w:hAnsi="宋体" w:hint="eastAsia"/>
          <w:color w:val="000000" w:themeColor="text1"/>
          <w:sz w:val="21"/>
          <w:szCs w:val="21"/>
        </w:rPr>
        <w:t>报刊上。基金管理人应当在季度结束之日起15个工作日内，编制完成基金季度报告，将季度报告登载在</w:t>
      </w:r>
      <w:r w:rsidR="00E07B2D" w:rsidRPr="003A2857">
        <w:rPr>
          <w:rFonts w:hAnsi="宋体" w:hint="eastAsia"/>
          <w:color w:val="000000" w:themeColor="text1"/>
          <w:sz w:val="21"/>
          <w:szCs w:val="21"/>
        </w:rPr>
        <w:t>规定</w:t>
      </w:r>
      <w:r w:rsidRPr="003A2857">
        <w:rPr>
          <w:rFonts w:hAnsi="宋体" w:hint="eastAsia"/>
          <w:color w:val="000000" w:themeColor="text1"/>
          <w:sz w:val="21"/>
          <w:szCs w:val="21"/>
        </w:rPr>
        <w:t>网站上，并将季度报告提示性公告登载在</w:t>
      </w:r>
      <w:r w:rsidR="00E07B2D" w:rsidRPr="003A2857">
        <w:rPr>
          <w:rFonts w:hAnsi="宋体" w:hint="eastAsia"/>
          <w:color w:val="000000" w:themeColor="text1"/>
          <w:sz w:val="21"/>
          <w:szCs w:val="21"/>
        </w:rPr>
        <w:t>规定</w:t>
      </w:r>
      <w:r w:rsidRPr="003A2857">
        <w:rPr>
          <w:rFonts w:hAnsi="宋体" w:hint="eastAsia"/>
          <w:color w:val="000000" w:themeColor="text1"/>
          <w:sz w:val="21"/>
          <w:szCs w:val="21"/>
        </w:rPr>
        <w:t>报刊上。《基金合同》生效不足2个月的，基金管理人可以不编制当期季度报告、中期报告或者年度报告。</w:t>
      </w:r>
    </w:p>
    <w:p w14:paraId="52B051E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8.5.3《基金合同》生效后，基金招募说明书、基金产品资料概要的信息发生重大变更的，基金管理人应当在三个工作日内，更新基金招募说明书、基金产品资料概要，并登载在</w:t>
      </w:r>
      <w:r w:rsidR="00A96F7C" w:rsidRPr="003A2857">
        <w:rPr>
          <w:rFonts w:hAnsi="宋体" w:hint="eastAsia"/>
          <w:color w:val="000000" w:themeColor="text1"/>
          <w:sz w:val="21"/>
          <w:szCs w:val="21"/>
        </w:rPr>
        <w:t>规定</w:t>
      </w:r>
      <w:r w:rsidRPr="003A2857">
        <w:rPr>
          <w:rFonts w:hAnsi="宋体" w:hint="eastAsia"/>
          <w:color w:val="000000" w:themeColor="text1"/>
          <w:sz w:val="21"/>
          <w:szCs w:val="21"/>
        </w:rPr>
        <w:t>网站上，并将基金产品资料概要登载在基金销售机构网站或营业网点。基金招募说明书、基金产品资料概要其他信息发生变更的，基金管理人至少每年更新一次。</w:t>
      </w:r>
    </w:p>
    <w:p w14:paraId="5142844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bookmarkStart w:id="32" w:name="_DV_C270"/>
      <w:r w:rsidRPr="003A2857">
        <w:rPr>
          <w:rFonts w:hAnsi="宋体" w:hint="eastAsia"/>
          <w:color w:val="000000" w:themeColor="text1"/>
          <w:sz w:val="21"/>
          <w:szCs w:val="21"/>
        </w:rPr>
        <w:t>8.5.</w:t>
      </w:r>
      <w:r w:rsidRPr="003A2857">
        <w:rPr>
          <w:rFonts w:hAnsi="宋体"/>
          <w:color w:val="000000" w:themeColor="text1"/>
          <w:sz w:val="21"/>
          <w:szCs w:val="21"/>
        </w:rPr>
        <w:t>4</w:t>
      </w:r>
      <w:r w:rsidRPr="003A2857">
        <w:rPr>
          <w:rFonts w:hAnsi="宋体" w:hint="eastAsia"/>
          <w:color w:val="000000" w:themeColor="text1"/>
          <w:sz w:val="21"/>
          <w:szCs w:val="21"/>
        </w:rPr>
        <w:t>基金管理人应及时完成报告编制，将有关报告提供基金托管人复核；基金托管人应当在收到报告之日起2个工作日内完成月度报告的复核；在收到报告之日起7个工作日内完成基金季度报告的复核；在收到报告之日起20个工作日内完成基金中期报告的复核；在收到报告之日起30个工作日内完成基金年度报告的</w:t>
      </w:r>
      <w:bookmarkEnd w:id="32"/>
      <w:r w:rsidRPr="003A2857">
        <w:rPr>
          <w:rFonts w:hAnsi="宋体" w:hint="eastAsia"/>
          <w:color w:val="000000" w:themeColor="text1"/>
          <w:sz w:val="21"/>
          <w:szCs w:val="21"/>
        </w:rPr>
        <w:t>复核。基金托管人在复核过程中，发现双方的数据、</w:t>
      </w:r>
      <w:r w:rsidRPr="003A2857">
        <w:rPr>
          <w:rFonts w:hAnsi="宋体"/>
          <w:color w:val="000000" w:themeColor="text1"/>
          <w:sz w:val="21"/>
          <w:szCs w:val="21"/>
        </w:rPr>
        <w:t>信息</w:t>
      </w:r>
      <w:r w:rsidRPr="003A2857">
        <w:rPr>
          <w:rFonts w:hAnsi="宋体" w:hint="eastAsia"/>
          <w:color w:val="000000" w:themeColor="text1"/>
          <w:sz w:val="21"/>
          <w:szCs w:val="21"/>
        </w:rPr>
        <w:t>存在不符时，基金管理人和基金托管人应共同查明原因，进行调整，调整以国家有关规定为准。</w:t>
      </w:r>
    </w:p>
    <w:p w14:paraId="7FD85EB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8.5.</w:t>
      </w:r>
      <w:r w:rsidRPr="003A2857">
        <w:rPr>
          <w:rFonts w:hAnsi="宋体"/>
          <w:color w:val="000000" w:themeColor="text1"/>
          <w:sz w:val="21"/>
          <w:szCs w:val="21"/>
        </w:rPr>
        <w:t>5</w:t>
      </w:r>
      <w:r w:rsidRPr="003A2857">
        <w:rPr>
          <w:rFonts w:hAnsi="宋体" w:hint="eastAsia"/>
          <w:color w:val="000000" w:themeColor="text1"/>
          <w:sz w:val="21"/>
          <w:szCs w:val="21"/>
        </w:rPr>
        <w:t>基金托管人在对财务会计报告、季度、中期报告或年度报告复核完毕后，需盖章确认或出具相应的复核确认书，以备有权机构对相关文件审核时提示。</w:t>
      </w:r>
    </w:p>
    <w:p w14:paraId="2AB6A00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8.6暂停估值的情形</w:t>
      </w:r>
    </w:p>
    <w:p w14:paraId="3B25BE4D" w14:textId="10BE1EFE"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（1）基金投资所涉及的证券</w:t>
      </w:r>
      <w:r w:rsidR="007211EF" w:rsidRPr="003A2857">
        <w:rPr>
          <w:bCs/>
          <w:color w:val="000000" w:themeColor="text1"/>
          <w:sz w:val="21"/>
          <w:szCs w:val="21"/>
        </w:rPr>
        <w:t>/</w:t>
      </w:r>
      <w:r w:rsidR="007211EF" w:rsidRPr="003A2857">
        <w:rPr>
          <w:rFonts w:hint="eastAsia"/>
          <w:bCs/>
          <w:color w:val="000000" w:themeColor="text1"/>
          <w:sz w:val="21"/>
          <w:szCs w:val="21"/>
        </w:rPr>
        <w:t>期货</w:t>
      </w:r>
      <w:r w:rsidRPr="003A2857">
        <w:rPr>
          <w:rFonts w:hAnsi="宋体" w:hint="eastAsia"/>
          <w:color w:val="000000" w:themeColor="text1"/>
          <w:sz w:val="21"/>
          <w:szCs w:val="21"/>
        </w:rPr>
        <w:t>交易市场</w:t>
      </w:r>
      <w:r w:rsidR="00C00C5E" w:rsidRPr="00C00C5E">
        <w:rPr>
          <w:rFonts w:hAnsi="宋体" w:hint="eastAsia"/>
          <w:color w:val="000000" w:themeColor="text1"/>
          <w:sz w:val="21"/>
          <w:szCs w:val="21"/>
        </w:rPr>
        <w:t>或外汇市场</w:t>
      </w:r>
      <w:r w:rsidRPr="003A2857">
        <w:rPr>
          <w:rFonts w:hAnsi="宋体" w:hint="eastAsia"/>
          <w:color w:val="000000" w:themeColor="text1"/>
          <w:sz w:val="21"/>
          <w:szCs w:val="21"/>
        </w:rPr>
        <w:t>遇法定节假日或因其他原因暂停</w:t>
      </w:r>
      <w:r w:rsidRPr="003A2857">
        <w:rPr>
          <w:rFonts w:hAnsi="宋体" w:hint="eastAsia"/>
          <w:color w:val="000000" w:themeColor="text1"/>
          <w:sz w:val="21"/>
          <w:szCs w:val="21"/>
        </w:rPr>
        <w:lastRenderedPageBreak/>
        <w:t>营业时；</w:t>
      </w:r>
    </w:p>
    <w:p w14:paraId="32026BB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（2）因不可抗力</w:t>
      </w:r>
      <w:r w:rsidR="009F1D94" w:rsidRPr="003A2857">
        <w:rPr>
          <w:rFonts w:hint="eastAsia"/>
          <w:color w:val="000000" w:themeColor="text1"/>
          <w:sz w:val="21"/>
          <w:szCs w:val="21"/>
        </w:rPr>
        <w:t>或其他情形</w:t>
      </w:r>
      <w:r w:rsidRPr="003A2857">
        <w:rPr>
          <w:rFonts w:hAnsi="宋体" w:hint="eastAsia"/>
          <w:color w:val="000000" w:themeColor="text1"/>
          <w:sz w:val="21"/>
          <w:szCs w:val="21"/>
        </w:rPr>
        <w:t>致使基金管理人、基金托管人无法准确评估基金资产价值时；</w:t>
      </w:r>
    </w:p>
    <w:p w14:paraId="21E9FF01" w14:textId="68B7B570" w:rsidR="00950499" w:rsidRPr="003A2857" w:rsidRDefault="005541ED" w:rsidP="00FB2E71">
      <w:pPr>
        <w:pStyle w:val="20"/>
        <w:spacing w:before="0" w:after="0" w:line="520" w:lineRule="atLeast"/>
        <w:ind w:left="0" w:firstLineChars="200" w:firstLine="420"/>
        <w:rPr>
          <w:bCs/>
          <w:color w:val="000000" w:themeColor="text1"/>
          <w:sz w:val="21"/>
          <w:szCs w:val="21"/>
        </w:rPr>
      </w:pPr>
      <w:r w:rsidRPr="003A2857">
        <w:rPr>
          <w:rFonts w:hint="eastAsia"/>
          <w:bCs/>
          <w:color w:val="000000" w:themeColor="text1"/>
          <w:sz w:val="21"/>
          <w:szCs w:val="21"/>
        </w:rPr>
        <w:t>（3）当</w:t>
      </w:r>
      <w:r w:rsidR="00BC3AE4" w:rsidRPr="003A2857">
        <w:rPr>
          <w:rFonts w:hint="eastAsia"/>
          <w:color w:val="000000" w:themeColor="text1"/>
          <w:sz w:val="21"/>
          <w:szCs w:val="21"/>
        </w:rPr>
        <w:t>特定资产占</w:t>
      </w:r>
      <w:r w:rsidRPr="003A2857">
        <w:rPr>
          <w:rFonts w:hint="eastAsia"/>
          <w:bCs/>
          <w:color w:val="000000" w:themeColor="text1"/>
          <w:sz w:val="21"/>
          <w:szCs w:val="21"/>
        </w:rPr>
        <w:t>前一估值日基金资产净值50%以上的，经与基金托管人协商确认后，基金</w:t>
      </w:r>
      <w:r w:rsidR="00C00C5E">
        <w:rPr>
          <w:rFonts w:hint="eastAsia"/>
          <w:bCs/>
          <w:color w:val="000000" w:themeColor="text1"/>
          <w:sz w:val="21"/>
          <w:szCs w:val="21"/>
        </w:rPr>
        <w:t>管理人</w:t>
      </w:r>
      <w:r w:rsidRPr="003A2857">
        <w:rPr>
          <w:rFonts w:hint="eastAsia"/>
          <w:bCs/>
          <w:color w:val="000000" w:themeColor="text1"/>
          <w:sz w:val="21"/>
          <w:szCs w:val="21"/>
        </w:rPr>
        <w:t>应当暂停估值；</w:t>
      </w:r>
    </w:p>
    <w:p w14:paraId="28E8887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（4）法律法规、中国证监会和基金合同认定的其他情形。</w:t>
      </w:r>
    </w:p>
    <w:p w14:paraId="7BC7A1BA" w14:textId="0BB272B2"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8.7特殊情况的处理</w:t>
      </w:r>
    </w:p>
    <w:p w14:paraId="349469BC" w14:textId="4B16A210"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（1）基金管理人或基金托管人按《基金合同》规定估值方法</w:t>
      </w:r>
      <w:r w:rsidR="004A446E" w:rsidRPr="003A2857">
        <w:rPr>
          <w:rFonts w:hAnsi="宋体" w:hint="eastAsia"/>
          <w:color w:val="000000" w:themeColor="text1"/>
          <w:sz w:val="21"/>
          <w:szCs w:val="21"/>
        </w:rPr>
        <w:t>的第</w:t>
      </w:r>
      <w:r w:rsidR="001A4FE6" w:rsidRPr="003A2857">
        <w:rPr>
          <w:rFonts w:hAnsi="宋体" w:hint="eastAsia"/>
          <w:color w:val="000000" w:themeColor="text1"/>
          <w:sz w:val="21"/>
          <w:szCs w:val="21"/>
        </w:rPr>
        <w:t>（</w:t>
      </w:r>
      <w:r w:rsidR="00C00C5E" w:rsidRPr="003A2857">
        <w:rPr>
          <w:rFonts w:hAnsi="宋体"/>
          <w:color w:val="000000" w:themeColor="text1"/>
          <w:sz w:val="21"/>
          <w:szCs w:val="21"/>
        </w:rPr>
        <w:t>1</w:t>
      </w:r>
      <w:r w:rsidR="00C00C5E">
        <w:rPr>
          <w:rFonts w:hAnsi="宋体"/>
          <w:color w:val="000000" w:themeColor="text1"/>
          <w:sz w:val="21"/>
          <w:szCs w:val="21"/>
        </w:rPr>
        <w:t>4</w:t>
      </w:r>
      <w:r w:rsidR="001A4FE6" w:rsidRPr="003A2857">
        <w:rPr>
          <w:rFonts w:hAnsi="宋体" w:hint="eastAsia"/>
          <w:color w:val="000000" w:themeColor="text1"/>
          <w:sz w:val="21"/>
          <w:szCs w:val="21"/>
        </w:rPr>
        <w:t>）</w:t>
      </w:r>
      <w:r w:rsidR="004A446E" w:rsidRPr="003A2857">
        <w:rPr>
          <w:rFonts w:hAnsi="宋体"/>
          <w:color w:val="000000" w:themeColor="text1"/>
          <w:sz w:val="21"/>
          <w:szCs w:val="21"/>
        </w:rPr>
        <w:t>项</w:t>
      </w:r>
      <w:r w:rsidRPr="003A2857">
        <w:rPr>
          <w:rFonts w:hAnsi="宋体" w:hint="eastAsia"/>
          <w:color w:val="000000" w:themeColor="text1"/>
          <w:sz w:val="21"/>
          <w:szCs w:val="21"/>
        </w:rPr>
        <w:t>进行估值时，所造成的误差不作为基金</w:t>
      </w:r>
      <w:r w:rsidR="00CD1D50" w:rsidRPr="003A2857">
        <w:rPr>
          <w:rFonts w:hint="eastAsia"/>
          <w:bCs/>
          <w:color w:val="000000" w:themeColor="text1"/>
          <w:sz w:val="21"/>
          <w:szCs w:val="21"/>
        </w:rPr>
        <w:t>资产估值</w:t>
      </w:r>
      <w:r w:rsidRPr="003A2857">
        <w:rPr>
          <w:rFonts w:hAnsi="宋体" w:hint="eastAsia"/>
          <w:color w:val="000000" w:themeColor="text1"/>
          <w:sz w:val="21"/>
          <w:szCs w:val="21"/>
        </w:rPr>
        <w:t>错误处理。</w:t>
      </w:r>
    </w:p>
    <w:p w14:paraId="3CA9333B" w14:textId="662CB711"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（2）由于</w:t>
      </w:r>
      <w:r w:rsidR="00E82FD1" w:rsidRPr="003A2857">
        <w:rPr>
          <w:rFonts w:hAnsi="宋体" w:hint="eastAsia"/>
          <w:bCs/>
          <w:color w:val="000000" w:themeColor="text1"/>
          <w:sz w:val="21"/>
          <w:szCs w:val="21"/>
        </w:rPr>
        <w:t>证券</w:t>
      </w:r>
      <w:r w:rsidR="00E82FD1" w:rsidRPr="003A2857">
        <w:rPr>
          <w:rFonts w:hAnsi="宋体"/>
          <w:bCs/>
          <w:color w:val="000000" w:themeColor="text1"/>
          <w:sz w:val="21"/>
          <w:szCs w:val="21"/>
        </w:rPr>
        <w:t>/期货交易所</w:t>
      </w:r>
      <w:r w:rsidR="00E82FD1" w:rsidRPr="003A2857">
        <w:rPr>
          <w:rFonts w:hAnsi="宋体" w:hint="eastAsia"/>
          <w:color w:val="000000" w:themeColor="text1"/>
          <w:sz w:val="21"/>
          <w:szCs w:val="21"/>
        </w:rPr>
        <w:t>、登记</w:t>
      </w:r>
      <w:r w:rsidR="00E82FD1" w:rsidRPr="003A2857">
        <w:rPr>
          <w:rFonts w:hAnsi="宋体" w:hint="eastAsia"/>
          <w:bCs/>
          <w:color w:val="000000" w:themeColor="text1"/>
          <w:sz w:val="21"/>
          <w:szCs w:val="21"/>
        </w:rPr>
        <w:t>结算公司</w:t>
      </w:r>
      <w:r w:rsidR="00C00C5E" w:rsidRPr="00C00C5E">
        <w:rPr>
          <w:rFonts w:hAnsi="宋体" w:hint="eastAsia"/>
          <w:bCs/>
          <w:color w:val="000000" w:themeColor="text1"/>
          <w:sz w:val="21"/>
          <w:szCs w:val="21"/>
        </w:rPr>
        <w:t>、证券/期货经纪机构等</w:t>
      </w:r>
      <w:r w:rsidR="00C00C5E">
        <w:rPr>
          <w:rFonts w:hAnsi="宋体" w:hint="eastAsia"/>
          <w:bCs/>
          <w:color w:val="000000" w:themeColor="text1"/>
          <w:sz w:val="21"/>
          <w:szCs w:val="21"/>
        </w:rPr>
        <w:t>机构</w:t>
      </w:r>
      <w:r w:rsidR="00E82FD1" w:rsidRPr="003A2857">
        <w:rPr>
          <w:rFonts w:hAnsi="宋体" w:hint="eastAsia"/>
          <w:color w:val="000000" w:themeColor="text1"/>
          <w:sz w:val="21"/>
          <w:szCs w:val="21"/>
        </w:rPr>
        <w:t>发送的数据错误</w:t>
      </w:r>
      <w:r w:rsidR="00C00C5E">
        <w:rPr>
          <w:rFonts w:hAnsi="宋体" w:hint="eastAsia"/>
          <w:color w:val="000000" w:themeColor="text1"/>
          <w:sz w:val="21"/>
          <w:szCs w:val="21"/>
        </w:rPr>
        <w:t>、遗漏</w:t>
      </w:r>
      <w:r w:rsidR="00E82FD1" w:rsidRPr="003A2857">
        <w:rPr>
          <w:rFonts w:hAnsi="宋体" w:hint="eastAsia"/>
          <w:bCs/>
          <w:color w:val="000000" w:themeColor="text1"/>
          <w:sz w:val="21"/>
          <w:szCs w:val="21"/>
        </w:rPr>
        <w:t>，有关会计制度变化或由于其他</w:t>
      </w:r>
      <w:r w:rsidRPr="003A2857">
        <w:rPr>
          <w:rFonts w:hAnsi="宋体" w:hint="eastAsia"/>
          <w:color w:val="000000" w:themeColor="text1"/>
          <w:sz w:val="21"/>
          <w:szCs w:val="21"/>
        </w:rPr>
        <w:t>不可抗力</w:t>
      </w:r>
      <w:r w:rsidR="00C00C5E" w:rsidRPr="00C00C5E">
        <w:rPr>
          <w:rFonts w:hAnsi="宋体" w:hint="eastAsia"/>
          <w:color w:val="000000" w:themeColor="text1"/>
          <w:sz w:val="21"/>
          <w:szCs w:val="21"/>
        </w:rPr>
        <w:t>等非基金管理人与基金托管人</w:t>
      </w:r>
      <w:r w:rsidRPr="003A2857">
        <w:rPr>
          <w:rFonts w:hAnsi="宋体" w:hint="eastAsia"/>
          <w:color w:val="000000" w:themeColor="text1"/>
          <w:sz w:val="21"/>
          <w:szCs w:val="21"/>
        </w:rPr>
        <w:t>原因，基金管理人和基金托管人虽然已经采取必要、适当、合理的措施进行检查，但</w:t>
      </w:r>
      <w:r w:rsidR="00E82FD1" w:rsidRPr="003A2857">
        <w:rPr>
          <w:rFonts w:hint="eastAsia"/>
          <w:bCs/>
          <w:color w:val="000000" w:themeColor="text1"/>
          <w:sz w:val="21"/>
          <w:szCs w:val="21"/>
        </w:rPr>
        <w:t>是</w:t>
      </w:r>
      <w:r w:rsidRPr="003A2857">
        <w:rPr>
          <w:rFonts w:hAnsi="宋体" w:hint="eastAsia"/>
          <w:color w:val="000000" w:themeColor="text1"/>
          <w:sz w:val="21"/>
          <w:szCs w:val="21"/>
        </w:rPr>
        <w:t>未能发现</w:t>
      </w:r>
      <w:r w:rsidR="00E82FD1" w:rsidRPr="003A2857">
        <w:rPr>
          <w:rFonts w:hint="eastAsia"/>
          <w:bCs/>
          <w:color w:val="000000" w:themeColor="text1"/>
          <w:sz w:val="21"/>
          <w:szCs w:val="21"/>
        </w:rPr>
        <w:t>该</w:t>
      </w:r>
      <w:r w:rsidRPr="003A2857">
        <w:rPr>
          <w:rFonts w:hAnsi="宋体" w:hint="eastAsia"/>
          <w:color w:val="000000" w:themeColor="text1"/>
          <w:sz w:val="21"/>
          <w:szCs w:val="21"/>
        </w:rPr>
        <w:t>错误</w:t>
      </w:r>
      <w:r w:rsidR="00E82FD1" w:rsidRPr="003A2857">
        <w:rPr>
          <w:rFonts w:hAnsi="宋体" w:hint="eastAsia"/>
          <w:color w:val="000000" w:themeColor="text1"/>
          <w:sz w:val="21"/>
          <w:szCs w:val="21"/>
        </w:rPr>
        <w:t>而</w:t>
      </w:r>
      <w:r w:rsidRPr="003A2857">
        <w:rPr>
          <w:rFonts w:hAnsi="宋体" w:hint="eastAsia"/>
          <w:color w:val="000000" w:themeColor="text1"/>
          <w:sz w:val="21"/>
          <w:szCs w:val="21"/>
        </w:rPr>
        <w:t>造成的基金</w:t>
      </w:r>
      <w:r w:rsidR="00E82FD1" w:rsidRPr="003A2857">
        <w:rPr>
          <w:rFonts w:hint="eastAsia"/>
          <w:bCs/>
          <w:color w:val="000000" w:themeColor="text1"/>
          <w:sz w:val="21"/>
          <w:szCs w:val="21"/>
        </w:rPr>
        <w:t>份额净值计算</w:t>
      </w:r>
      <w:r w:rsidRPr="003A2857">
        <w:rPr>
          <w:rFonts w:hAnsi="宋体" w:hint="eastAsia"/>
          <w:color w:val="000000" w:themeColor="text1"/>
          <w:sz w:val="21"/>
          <w:szCs w:val="21"/>
        </w:rPr>
        <w:t>错误，基金管理人</w:t>
      </w:r>
      <w:r w:rsidR="00E82FD1" w:rsidRPr="003A2857">
        <w:rPr>
          <w:rFonts w:hint="eastAsia"/>
          <w:bCs/>
          <w:color w:val="000000" w:themeColor="text1"/>
          <w:sz w:val="21"/>
          <w:szCs w:val="21"/>
        </w:rPr>
        <w:t>、</w:t>
      </w:r>
      <w:r w:rsidRPr="003A2857">
        <w:rPr>
          <w:rFonts w:hAnsi="宋体" w:hint="eastAsia"/>
          <w:color w:val="000000" w:themeColor="text1"/>
          <w:sz w:val="21"/>
          <w:szCs w:val="21"/>
        </w:rPr>
        <w:t>基金托管人免除赔偿责任。但基金管理人、基金托管人应积极采取必要的措施减轻或消除由此造成的影响。</w:t>
      </w:r>
    </w:p>
    <w:p w14:paraId="421F216B" w14:textId="77777777" w:rsidR="00950499" w:rsidRPr="003A2857" w:rsidRDefault="005541ED" w:rsidP="00FB2E71">
      <w:pPr>
        <w:pStyle w:val="1"/>
        <w:spacing w:line="520" w:lineRule="atLeast"/>
        <w:ind w:firstLineChars="200" w:firstLine="422"/>
        <w:rPr>
          <w:bCs/>
          <w:color w:val="000000" w:themeColor="text1"/>
          <w:sz w:val="21"/>
          <w:szCs w:val="21"/>
        </w:rPr>
      </w:pPr>
      <w:bookmarkStart w:id="33" w:name="_Toc296551345"/>
      <w:bookmarkStart w:id="34" w:name="_Toc200545741"/>
      <w:r w:rsidRPr="003A2857">
        <w:rPr>
          <w:rFonts w:hint="eastAsia"/>
          <w:bCs/>
          <w:color w:val="000000" w:themeColor="text1"/>
          <w:sz w:val="21"/>
          <w:szCs w:val="21"/>
        </w:rPr>
        <w:t>第九条 基金收益分配</w:t>
      </w:r>
      <w:bookmarkEnd w:id="33"/>
      <w:bookmarkEnd w:id="34"/>
    </w:p>
    <w:p w14:paraId="69B2F791" w14:textId="0354435E" w:rsidR="002D0533" w:rsidRPr="00CD757A" w:rsidRDefault="002D0533" w:rsidP="00CD757A">
      <w:pPr>
        <w:pStyle w:val="20"/>
        <w:spacing w:before="0" w:after="0" w:line="520" w:lineRule="atLeast"/>
        <w:ind w:left="0" w:firstLineChars="200" w:firstLine="420"/>
        <w:rPr>
          <w:rFonts w:hAnsi="宋体"/>
          <w:color w:val="000000" w:themeColor="text1"/>
          <w:szCs w:val="21"/>
        </w:rPr>
      </w:pPr>
      <w:r>
        <w:rPr>
          <w:rFonts w:hAnsi="宋体" w:hint="eastAsia"/>
          <w:color w:val="000000" w:themeColor="text1"/>
          <w:sz w:val="21"/>
          <w:szCs w:val="21"/>
        </w:rPr>
        <w:t>9</w:t>
      </w:r>
      <w:r>
        <w:rPr>
          <w:rFonts w:hAnsi="宋体"/>
          <w:color w:val="000000" w:themeColor="text1"/>
          <w:sz w:val="21"/>
          <w:szCs w:val="21"/>
        </w:rPr>
        <w:t>.1</w:t>
      </w:r>
      <w:r w:rsidRPr="00CD757A">
        <w:rPr>
          <w:rFonts w:hAnsi="宋体" w:hint="eastAsia"/>
          <w:color w:val="000000" w:themeColor="text1"/>
          <w:sz w:val="21"/>
          <w:szCs w:val="21"/>
        </w:rPr>
        <w:t>基金利润的构成</w:t>
      </w:r>
    </w:p>
    <w:p w14:paraId="11D057E9"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基金利润指基金利息收入、投资收益、公允价值变动收益和其他收入扣除相关费用后的余额，基金已实现收益指基金利润减去公允价值变动收益后的余额。</w:t>
      </w:r>
    </w:p>
    <w:p w14:paraId="00C93E25" w14:textId="55D8E8A3" w:rsidR="002D0533" w:rsidRPr="00CD757A" w:rsidRDefault="002D0533" w:rsidP="00CD757A">
      <w:pPr>
        <w:pStyle w:val="20"/>
        <w:spacing w:before="0" w:after="0" w:line="520" w:lineRule="atLeast"/>
        <w:ind w:left="0" w:firstLineChars="200" w:firstLine="420"/>
        <w:rPr>
          <w:rFonts w:hAnsi="宋体"/>
          <w:color w:val="000000" w:themeColor="text1"/>
          <w:szCs w:val="21"/>
        </w:rPr>
      </w:pPr>
      <w:r>
        <w:rPr>
          <w:rFonts w:hAnsi="宋体" w:hint="eastAsia"/>
          <w:color w:val="000000" w:themeColor="text1"/>
          <w:sz w:val="21"/>
          <w:szCs w:val="21"/>
        </w:rPr>
        <w:t>9</w:t>
      </w:r>
      <w:r>
        <w:rPr>
          <w:rFonts w:hAnsi="宋体"/>
          <w:color w:val="000000" w:themeColor="text1"/>
          <w:sz w:val="21"/>
          <w:szCs w:val="21"/>
        </w:rPr>
        <w:t>.2</w:t>
      </w:r>
      <w:r w:rsidRPr="00CD757A">
        <w:rPr>
          <w:rFonts w:hAnsi="宋体" w:hint="eastAsia"/>
          <w:color w:val="000000" w:themeColor="text1"/>
          <w:sz w:val="21"/>
          <w:szCs w:val="21"/>
        </w:rPr>
        <w:t>基金可供分配利润</w:t>
      </w:r>
    </w:p>
    <w:p w14:paraId="4361C345"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基金可供分配利润指截至收益分配基准日基金未分配利润与未分配利润中已实现收益的孰低数。</w:t>
      </w:r>
    </w:p>
    <w:p w14:paraId="188CFFE4" w14:textId="4A65FF94" w:rsidR="002D0533" w:rsidRPr="00CD757A" w:rsidRDefault="002D0533" w:rsidP="00CD757A">
      <w:pPr>
        <w:pStyle w:val="20"/>
        <w:spacing w:before="0" w:after="0" w:line="520" w:lineRule="atLeast"/>
        <w:ind w:left="0" w:firstLineChars="200" w:firstLine="420"/>
        <w:rPr>
          <w:rFonts w:hAnsi="宋体"/>
          <w:color w:val="000000" w:themeColor="text1"/>
          <w:szCs w:val="21"/>
        </w:rPr>
      </w:pPr>
      <w:bookmarkStart w:id="35" w:name="_Hlk38563563"/>
      <w:r>
        <w:rPr>
          <w:rFonts w:hAnsi="宋体" w:hint="eastAsia"/>
          <w:color w:val="000000" w:themeColor="text1"/>
          <w:sz w:val="21"/>
          <w:szCs w:val="21"/>
        </w:rPr>
        <w:t>9</w:t>
      </w:r>
      <w:r>
        <w:rPr>
          <w:rFonts w:hAnsi="宋体"/>
          <w:color w:val="000000" w:themeColor="text1"/>
          <w:sz w:val="21"/>
          <w:szCs w:val="21"/>
        </w:rPr>
        <w:t>.3</w:t>
      </w:r>
      <w:r w:rsidRPr="00CD757A">
        <w:rPr>
          <w:rFonts w:hAnsi="宋体" w:hint="eastAsia"/>
          <w:color w:val="000000" w:themeColor="text1"/>
          <w:sz w:val="21"/>
          <w:szCs w:val="21"/>
        </w:rPr>
        <w:t>基金收益分配原则</w:t>
      </w:r>
    </w:p>
    <w:p w14:paraId="74419A41"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color w:val="000000" w:themeColor="text1"/>
          <w:sz w:val="21"/>
          <w:szCs w:val="21"/>
        </w:rPr>
        <w:t>1</w:t>
      </w:r>
      <w:r w:rsidRPr="00CD757A">
        <w:rPr>
          <w:rFonts w:hAnsi="宋体" w:hint="eastAsia"/>
          <w:color w:val="000000" w:themeColor="text1"/>
          <w:sz w:val="21"/>
          <w:szCs w:val="21"/>
        </w:rPr>
        <w:t>、由于基金费用的不同，不同类别的基金份额在收益分配数额方面可能有所不同，基金管理人可对各类别基金份额分别制定收益分配方案，同一类别的每一基金份额享有同等分配权。</w:t>
      </w:r>
    </w:p>
    <w:p w14:paraId="13C793F2"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color w:val="000000" w:themeColor="text1"/>
          <w:sz w:val="21"/>
          <w:szCs w:val="21"/>
        </w:rPr>
        <w:t>2</w:t>
      </w:r>
      <w:r w:rsidRPr="00CD757A">
        <w:rPr>
          <w:rFonts w:hAnsi="宋体" w:hint="eastAsia"/>
          <w:color w:val="000000" w:themeColor="text1"/>
          <w:sz w:val="21"/>
          <w:szCs w:val="21"/>
        </w:rPr>
        <w:t>、</w:t>
      </w:r>
      <w:bookmarkStart w:id="36" w:name="_Hlk92648717"/>
      <w:r w:rsidRPr="00CD757A">
        <w:rPr>
          <w:rFonts w:hAnsi="宋体" w:hint="eastAsia"/>
          <w:color w:val="000000" w:themeColor="text1"/>
          <w:sz w:val="21"/>
          <w:szCs w:val="21"/>
        </w:rPr>
        <w:t>在符合有关基金分红条件的前提下，本基金管理人可以根据实际情况进行收益分配，</w:t>
      </w:r>
      <w:r w:rsidRPr="00CD757A">
        <w:rPr>
          <w:rFonts w:hAnsi="宋体" w:hint="eastAsia"/>
          <w:color w:val="000000" w:themeColor="text1"/>
          <w:sz w:val="21"/>
          <w:szCs w:val="21"/>
        </w:rPr>
        <w:lastRenderedPageBreak/>
        <w:t>具体分配方案以公告为准。若《基金合同》生效不满</w:t>
      </w:r>
      <w:r w:rsidRPr="00CD757A">
        <w:rPr>
          <w:rFonts w:hAnsi="宋体"/>
          <w:color w:val="000000" w:themeColor="text1"/>
          <w:sz w:val="21"/>
          <w:szCs w:val="21"/>
        </w:rPr>
        <w:t>3</w:t>
      </w:r>
      <w:r w:rsidRPr="00CD757A">
        <w:rPr>
          <w:rFonts w:hAnsi="宋体" w:hint="eastAsia"/>
          <w:color w:val="000000" w:themeColor="text1"/>
          <w:sz w:val="21"/>
          <w:szCs w:val="21"/>
        </w:rPr>
        <w:t>个月可不进行收益分配。</w:t>
      </w:r>
      <w:bookmarkEnd w:id="36"/>
    </w:p>
    <w:p w14:paraId="6A8366C8"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color w:val="000000" w:themeColor="text1"/>
          <w:sz w:val="21"/>
          <w:szCs w:val="21"/>
        </w:rPr>
        <w:t>3</w:t>
      </w:r>
      <w:r w:rsidRPr="00CD757A">
        <w:rPr>
          <w:rFonts w:hAnsi="宋体" w:hint="eastAsia"/>
          <w:color w:val="000000" w:themeColor="text1"/>
          <w:sz w:val="21"/>
          <w:szCs w:val="21"/>
        </w:rPr>
        <w:t>、本基金收益分配方式分两种：现金分红与红利再投资，基金份额持有人可选择现金红利或将现金红利自动转为相应类别的基金份额进行再投资；若基金份额持有人不选择，本基金默认的收益分配方式是现金分红。</w:t>
      </w:r>
    </w:p>
    <w:p w14:paraId="4E0AE584"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color w:val="000000" w:themeColor="text1"/>
          <w:sz w:val="21"/>
          <w:szCs w:val="21"/>
        </w:rPr>
        <w:t>4</w:t>
      </w:r>
      <w:r w:rsidRPr="00CD757A">
        <w:rPr>
          <w:rFonts w:hAnsi="宋体" w:hint="eastAsia"/>
          <w:color w:val="000000" w:themeColor="text1"/>
          <w:sz w:val="21"/>
          <w:szCs w:val="21"/>
        </w:rPr>
        <w:t>、基金收益分配后各类基金份额净值不能低于面值；即基金收益分配基准日的各类基金份额净值减去每单位该类基金份额收益分配金额后不能低于面值。</w:t>
      </w:r>
    </w:p>
    <w:p w14:paraId="1313D126"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color w:val="000000" w:themeColor="text1"/>
          <w:sz w:val="21"/>
          <w:szCs w:val="21"/>
        </w:rPr>
        <w:t>5</w:t>
      </w:r>
      <w:r w:rsidRPr="00CD757A">
        <w:rPr>
          <w:rFonts w:hAnsi="宋体" w:hint="eastAsia"/>
          <w:color w:val="000000" w:themeColor="text1"/>
          <w:sz w:val="21"/>
          <w:szCs w:val="21"/>
        </w:rPr>
        <w:t>、法律法规或监管机关另有规定的，从其规定。</w:t>
      </w:r>
    </w:p>
    <w:p w14:paraId="7A4B4A43"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在不违反法律法规且对现有基金份额持有人利益无实质性不利影响的情况下，基金管理人与基金托管人协商一致后可对基金收益分配原则进行调整，不需召开基金份额持有人大会，但应于调整实施前在规定媒介公告。</w:t>
      </w:r>
      <w:bookmarkEnd w:id="35"/>
    </w:p>
    <w:p w14:paraId="356CD3AB" w14:textId="253F3E93" w:rsidR="002D0533" w:rsidRPr="00CD757A" w:rsidRDefault="002D0533" w:rsidP="00CD757A">
      <w:pPr>
        <w:pStyle w:val="20"/>
        <w:spacing w:before="0" w:after="0" w:line="520" w:lineRule="atLeast"/>
        <w:ind w:left="0" w:firstLineChars="200" w:firstLine="420"/>
        <w:rPr>
          <w:rFonts w:hAnsi="宋体"/>
          <w:color w:val="000000" w:themeColor="text1"/>
          <w:szCs w:val="21"/>
        </w:rPr>
      </w:pPr>
      <w:r>
        <w:rPr>
          <w:rFonts w:hAnsi="宋体" w:hint="eastAsia"/>
          <w:color w:val="000000" w:themeColor="text1"/>
          <w:sz w:val="21"/>
          <w:szCs w:val="21"/>
        </w:rPr>
        <w:t>9</w:t>
      </w:r>
      <w:r>
        <w:rPr>
          <w:rFonts w:hAnsi="宋体"/>
          <w:color w:val="000000" w:themeColor="text1"/>
          <w:sz w:val="21"/>
          <w:szCs w:val="21"/>
        </w:rPr>
        <w:t>.4</w:t>
      </w:r>
      <w:r w:rsidRPr="00CD757A">
        <w:rPr>
          <w:rFonts w:hAnsi="宋体" w:hint="eastAsia"/>
          <w:color w:val="000000" w:themeColor="text1"/>
          <w:sz w:val="21"/>
          <w:szCs w:val="21"/>
        </w:rPr>
        <w:t>收益分配方案</w:t>
      </w:r>
    </w:p>
    <w:p w14:paraId="2B010D2E"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基金收益分配方案中应载明截止收益分配基准日的可供分配利润、基金收益分配对象、分配时间、分配数额及比例、分配方式等内容。</w:t>
      </w:r>
    </w:p>
    <w:p w14:paraId="6263712E" w14:textId="32C6CE18" w:rsidR="002D0533" w:rsidRPr="00CD757A" w:rsidRDefault="002D0533" w:rsidP="00CD757A">
      <w:pPr>
        <w:pStyle w:val="20"/>
        <w:spacing w:before="0" w:after="0" w:line="520" w:lineRule="atLeast"/>
        <w:ind w:left="0" w:firstLineChars="200" w:firstLine="420"/>
        <w:rPr>
          <w:rFonts w:hAnsi="宋体"/>
          <w:color w:val="000000" w:themeColor="text1"/>
          <w:szCs w:val="21"/>
        </w:rPr>
      </w:pPr>
      <w:r>
        <w:rPr>
          <w:rFonts w:hAnsi="宋体" w:hint="eastAsia"/>
          <w:color w:val="000000" w:themeColor="text1"/>
          <w:sz w:val="21"/>
          <w:szCs w:val="21"/>
        </w:rPr>
        <w:t>9</w:t>
      </w:r>
      <w:r>
        <w:rPr>
          <w:rFonts w:hAnsi="宋体"/>
          <w:color w:val="000000" w:themeColor="text1"/>
          <w:sz w:val="21"/>
          <w:szCs w:val="21"/>
        </w:rPr>
        <w:t>.5</w:t>
      </w:r>
      <w:r w:rsidRPr="00CD757A">
        <w:rPr>
          <w:rFonts w:hAnsi="宋体" w:hint="eastAsia"/>
          <w:color w:val="000000" w:themeColor="text1"/>
          <w:sz w:val="21"/>
          <w:szCs w:val="21"/>
        </w:rPr>
        <w:t>收益分配方案的确定、公告与实施</w:t>
      </w:r>
    </w:p>
    <w:p w14:paraId="1BF9D8E4"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本基金收益分配方案由基金管理人拟定，并由基金托管人复核，依照《信息披露办法》的有关规定在规定媒介公告。</w:t>
      </w:r>
    </w:p>
    <w:p w14:paraId="5B025AE0" w14:textId="4BD8CF37" w:rsidR="002D0533" w:rsidRPr="00CD757A" w:rsidRDefault="002D0533" w:rsidP="00CD757A">
      <w:pPr>
        <w:pStyle w:val="20"/>
        <w:spacing w:before="0" w:after="0" w:line="520" w:lineRule="atLeast"/>
        <w:ind w:left="0" w:firstLineChars="200" w:firstLine="420"/>
        <w:rPr>
          <w:rFonts w:hAnsi="宋体"/>
          <w:color w:val="000000" w:themeColor="text1"/>
          <w:szCs w:val="21"/>
        </w:rPr>
      </w:pPr>
      <w:r>
        <w:rPr>
          <w:rFonts w:hAnsi="宋体"/>
          <w:color w:val="000000" w:themeColor="text1"/>
          <w:sz w:val="21"/>
          <w:szCs w:val="21"/>
        </w:rPr>
        <w:t>9.6</w:t>
      </w:r>
      <w:r w:rsidRPr="00CD757A">
        <w:rPr>
          <w:rFonts w:hAnsi="宋体" w:hint="eastAsia"/>
          <w:color w:val="000000" w:themeColor="text1"/>
          <w:sz w:val="21"/>
          <w:szCs w:val="21"/>
        </w:rPr>
        <w:t>基金收益分配中发生的费用</w:t>
      </w:r>
    </w:p>
    <w:p w14:paraId="0465181F" w14:textId="77777777" w:rsidR="002D0533" w:rsidRPr="00CD757A" w:rsidRDefault="002D0533" w:rsidP="00CD757A">
      <w:pPr>
        <w:pStyle w:val="20"/>
        <w:spacing w:before="0" w:after="0" w:line="520" w:lineRule="atLeast"/>
        <w:ind w:left="0" w:firstLineChars="200" w:firstLine="420"/>
        <w:rPr>
          <w:rFonts w:hAnsi="宋体"/>
          <w:color w:val="000000" w:themeColor="text1"/>
          <w:szCs w:val="21"/>
        </w:rPr>
      </w:pPr>
      <w:r w:rsidRPr="00CD757A">
        <w:rPr>
          <w:rFonts w:hAnsi="宋体" w:hint="eastAsia"/>
          <w:color w:val="000000" w:themeColor="text1"/>
          <w:sz w:val="21"/>
          <w:szCs w:val="21"/>
        </w:rPr>
        <w:t>基金收益分配时所发生的银行转账或其他手续费用由投资者自行承担。当投资者的现金红利小于一定金额，不足以支付银行转账或其他手续费用时，基金登记机构可将基金份额持有人的现金红利自动转为同一类别的基金份额。红利再投资的计算方法，依照《业务规则》执行。</w:t>
      </w:r>
    </w:p>
    <w:p w14:paraId="355B2173" w14:textId="775C3A2B" w:rsidR="002D0533" w:rsidRPr="00CD757A" w:rsidRDefault="002D0533" w:rsidP="00CD757A">
      <w:pPr>
        <w:pStyle w:val="20"/>
        <w:spacing w:before="0" w:after="0" w:line="520" w:lineRule="atLeast"/>
        <w:ind w:left="0" w:firstLineChars="200" w:firstLine="420"/>
        <w:rPr>
          <w:rFonts w:hAnsi="宋体"/>
          <w:color w:val="000000" w:themeColor="text1"/>
          <w:szCs w:val="21"/>
        </w:rPr>
      </w:pPr>
      <w:r>
        <w:rPr>
          <w:rFonts w:hAnsi="宋体" w:hint="eastAsia"/>
          <w:color w:val="000000" w:themeColor="text1"/>
          <w:sz w:val="21"/>
          <w:szCs w:val="21"/>
        </w:rPr>
        <w:t>9</w:t>
      </w:r>
      <w:r>
        <w:rPr>
          <w:rFonts w:hAnsi="宋体"/>
          <w:color w:val="000000" w:themeColor="text1"/>
          <w:sz w:val="21"/>
          <w:szCs w:val="21"/>
        </w:rPr>
        <w:t>.7</w:t>
      </w:r>
      <w:r w:rsidRPr="00CD757A">
        <w:rPr>
          <w:rFonts w:hAnsi="宋体" w:hint="eastAsia"/>
          <w:color w:val="000000" w:themeColor="text1"/>
          <w:sz w:val="21"/>
          <w:szCs w:val="21"/>
        </w:rPr>
        <w:t>实施侧袋机制期间的收益分配</w:t>
      </w:r>
    </w:p>
    <w:p w14:paraId="26E54CAE" w14:textId="618CDF8C" w:rsidR="00950499" w:rsidRPr="00FD1CC8" w:rsidRDefault="002D0533" w:rsidP="00FD1CC8">
      <w:pPr>
        <w:pStyle w:val="20"/>
        <w:spacing w:before="0" w:after="0" w:line="520" w:lineRule="atLeast"/>
        <w:ind w:left="0" w:firstLineChars="200" w:firstLine="420"/>
        <w:rPr>
          <w:rFonts w:hAnsi="宋体"/>
          <w:color w:val="000000" w:themeColor="text1"/>
          <w:sz w:val="21"/>
          <w:szCs w:val="21"/>
        </w:rPr>
      </w:pPr>
      <w:r w:rsidRPr="00FD1CC8">
        <w:rPr>
          <w:rFonts w:hAnsi="宋体" w:hint="eastAsia"/>
          <w:color w:val="000000" w:themeColor="text1"/>
          <w:sz w:val="21"/>
          <w:szCs w:val="21"/>
        </w:rPr>
        <w:t>本基金实施侧袋机制的，侧袋账户不进行收益分配，详见招募说明书的规定。</w:t>
      </w:r>
      <w:bookmarkStart w:id="37" w:name="_Toc296551346"/>
      <w:r w:rsidR="005541ED" w:rsidRPr="00FD1CC8">
        <w:rPr>
          <w:rFonts w:hAnsi="宋体" w:hint="eastAsia"/>
          <w:color w:val="000000" w:themeColor="text1"/>
          <w:sz w:val="21"/>
          <w:szCs w:val="21"/>
        </w:rPr>
        <w:t>第十条 信息披露</w:t>
      </w:r>
      <w:bookmarkEnd w:id="37"/>
    </w:p>
    <w:p w14:paraId="45BB659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10.1保密义务</w:t>
      </w:r>
    </w:p>
    <w:p w14:paraId="4135E69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除按照《基金法》、《信息披露办法》、《流动性</w:t>
      </w:r>
      <w:r w:rsidRPr="003A2857">
        <w:rPr>
          <w:rFonts w:hAnsi="宋体"/>
          <w:color w:val="000000" w:themeColor="text1"/>
          <w:sz w:val="21"/>
          <w:szCs w:val="21"/>
        </w:rPr>
        <w:t>风险管理规定</w:t>
      </w:r>
      <w:r w:rsidRPr="003A2857">
        <w:rPr>
          <w:rFonts w:hAnsi="宋体" w:hint="eastAsia"/>
          <w:color w:val="000000" w:themeColor="text1"/>
          <w:sz w:val="21"/>
          <w:szCs w:val="21"/>
        </w:rPr>
        <w:t>》、基金合同及中国证监会</w:t>
      </w:r>
      <w:r w:rsidRPr="003A2857">
        <w:rPr>
          <w:rFonts w:hAnsi="宋体" w:hint="eastAsia"/>
          <w:color w:val="000000" w:themeColor="text1"/>
          <w:sz w:val="21"/>
          <w:szCs w:val="21"/>
        </w:rPr>
        <w:lastRenderedPageBreak/>
        <w:t>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但是，如下情况不应视为基金管理人或基金托管人违反保密义务：</w:t>
      </w:r>
    </w:p>
    <w:p w14:paraId="4BDB1AC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（1）非因基金管理人和基金托管人的原因导致保密信息被披露、泄露或公开；</w:t>
      </w:r>
    </w:p>
    <w:p w14:paraId="2F9FE0F2" w14:textId="56573E82" w:rsidR="00950499"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（2）基金管理人和基金托管人为遵守和服从法院判决或裁定、仲裁裁决或中国证监会等监管机构的命令、决定所做出的信息披露或公开。</w:t>
      </w:r>
    </w:p>
    <w:p w14:paraId="6C05F237" w14:textId="2ED71225" w:rsidR="00BD1EA5" w:rsidRPr="003A2857" w:rsidRDefault="00BD1EA5" w:rsidP="00FB2E71">
      <w:pPr>
        <w:pStyle w:val="20"/>
        <w:spacing w:before="0" w:after="0" w:line="520" w:lineRule="atLeast"/>
        <w:ind w:left="0" w:firstLineChars="200" w:firstLine="420"/>
        <w:rPr>
          <w:rFonts w:hAnsi="宋体"/>
          <w:color w:val="000000" w:themeColor="text1"/>
          <w:sz w:val="21"/>
          <w:szCs w:val="21"/>
        </w:rPr>
      </w:pPr>
      <w:r>
        <w:rPr>
          <w:rFonts w:hAnsi="宋体" w:hint="eastAsia"/>
          <w:color w:val="000000" w:themeColor="text1"/>
          <w:sz w:val="21"/>
          <w:szCs w:val="21"/>
        </w:rPr>
        <w:t>（3）</w:t>
      </w:r>
      <w:r w:rsidRPr="00BD1EA5">
        <w:rPr>
          <w:rFonts w:hAnsi="宋体" w:hint="eastAsia"/>
          <w:color w:val="000000" w:themeColor="text1"/>
          <w:sz w:val="21"/>
          <w:szCs w:val="21"/>
        </w:rPr>
        <w:t>基金管理人和基金托管人在要求保密的前提下对自身聘请的外部法律顾问、财务顾问、审计人员、技术顾问等做出的必要信息披露</w:t>
      </w:r>
      <w:r>
        <w:rPr>
          <w:rFonts w:hAnsi="宋体" w:hint="eastAsia"/>
          <w:color w:val="000000" w:themeColor="text1"/>
          <w:sz w:val="21"/>
          <w:szCs w:val="21"/>
        </w:rPr>
        <w:t>。</w:t>
      </w:r>
    </w:p>
    <w:p w14:paraId="23857FC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10.2基金管理人和基金托管人在信息披露中的职责和信息披露程序</w:t>
      </w:r>
    </w:p>
    <w:p w14:paraId="5383C34B"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10.2.1基金管理人和基金托管人应根据相关法律法规、基金合同的规定各自承担相应的信息披露职责。基金管理人和基金托管人负有积极配合、互相督促、彼此监督、保证其履行按照法定方式和时限披露的义务。</w:t>
      </w:r>
    </w:p>
    <w:p w14:paraId="00E7F17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10.2.2本基金信息披露的文件主要包括基金招募说明书、基金产品资料概要、基金合同、托管协议、基金份额发售公告、基金合同生效公告、基金净值信息、基金份额申购赎回价格、基金定期报告（包括基金年度报告、基金中期报告和基金季度报告）、临时报告、澄清公告、</w:t>
      </w:r>
      <w:r w:rsidR="00627FB2" w:rsidRPr="003A2857">
        <w:rPr>
          <w:rFonts w:hAnsi="宋体" w:hint="eastAsia"/>
          <w:color w:val="000000" w:themeColor="text1"/>
          <w:sz w:val="21"/>
          <w:szCs w:val="21"/>
        </w:rPr>
        <w:t>清算报告、</w:t>
      </w:r>
      <w:r w:rsidRPr="003A2857">
        <w:rPr>
          <w:rFonts w:hAnsi="宋体" w:hint="eastAsia"/>
          <w:color w:val="000000" w:themeColor="text1"/>
          <w:sz w:val="21"/>
          <w:szCs w:val="21"/>
        </w:rPr>
        <w:t>基金份额持有人大会决议、投资资产支持证券</w:t>
      </w:r>
      <w:r w:rsidR="00854B8C" w:rsidRPr="003A2857">
        <w:rPr>
          <w:rFonts w:hAnsi="宋体" w:hint="eastAsia"/>
          <w:color w:val="000000" w:themeColor="text1"/>
          <w:sz w:val="21"/>
          <w:szCs w:val="21"/>
        </w:rPr>
        <w:t>的相关公告</w:t>
      </w:r>
      <w:r w:rsidRPr="003A2857">
        <w:rPr>
          <w:rFonts w:hAnsi="宋体" w:hint="eastAsia"/>
          <w:color w:val="000000" w:themeColor="text1"/>
          <w:sz w:val="21"/>
          <w:szCs w:val="21"/>
        </w:rPr>
        <w:t>、</w:t>
      </w:r>
      <w:r w:rsidR="00854B8C" w:rsidRPr="003A2857">
        <w:rPr>
          <w:rFonts w:hAnsi="宋体" w:hint="eastAsia"/>
          <w:color w:val="000000" w:themeColor="text1"/>
          <w:sz w:val="21"/>
          <w:szCs w:val="21"/>
        </w:rPr>
        <w:t>投资股指期货的相关公告、</w:t>
      </w:r>
      <w:r w:rsidR="00096B83" w:rsidRPr="003A2857">
        <w:rPr>
          <w:rFonts w:hAnsi="宋体" w:hint="eastAsia"/>
          <w:color w:val="000000" w:themeColor="text1"/>
          <w:sz w:val="21"/>
          <w:szCs w:val="21"/>
        </w:rPr>
        <w:t>投资</w:t>
      </w:r>
      <w:r w:rsidRPr="003A2857">
        <w:rPr>
          <w:rFonts w:hAnsi="宋体" w:hint="eastAsia"/>
          <w:color w:val="000000" w:themeColor="text1"/>
          <w:sz w:val="21"/>
          <w:szCs w:val="21"/>
        </w:rPr>
        <w:t>国债期货</w:t>
      </w:r>
      <w:r w:rsidR="00096B83" w:rsidRPr="003A2857">
        <w:rPr>
          <w:rFonts w:hAnsi="宋体" w:hint="eastAsia"/>
          <w:color w:val="000000" w:themeColor="text1"/>
          <w:sz w:val="21"/>
          <w:szCs w:val="21"/>
        </w:rPr>
        <w:t>的相关公告、投资港股通标的股票相关公告、投资股票期权</w:t>
      </w:r>
      <w:r w:rsidRPr="003A2857">
        <w:rPr>
          <w:rFonts w:hAnsi="宋体" w:hint="eastAsia"/>
          <w:color w:val="000000" w:themeColor="text1"/>
          <w:sz w:val="21"/>
          <w:szCs w:val="21"/>
        </w:rPr>
        <w:t>的信息披露</w:t>
      </w:r>
      <w:r w:rsidR="00096B83" w:rsidRPr="003A2857">
        <w:rPr>
          <w:rFonts w:hAnsi="宋体" w:hint="eastAsia"/>
          <w:color w:val="000000" w:themeColor="text1"/>
          <w:sz w:val="21"/>
          <w:szCs w:val="21"/>
        </w:rPr>
        <w:t>、基金投资流通受限证券的信息披露、参与融资业务的相关公告、实施侧袋机制期间的信息披露</w:t>
      </w:r>
      <w:r w:rsidRPr="003A2857">
        <w:rPr>
          <w:rFonts w:hAnsi="宋体" w:hint="eastAsia"/>
          <w:color w:val="000000" w:themeColor="text1"/>
          <w:sz w:val="21"/>
          <w:szCs w:val="21"/>
        </w:rPr>
        <w:t>以及中国证监会规定的其他信息。</w:t>
      </w:r>
    </w:p>
    <w:p w14:paraId="5D26EDD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10.2.3基金募集申请经中国证监会注册后，基金管理人应当在基金份额发售的三日前，将基金份额发售公告、基金招募说明书提示性公告和基金合同提示性公告登载在</w:t>
      </w:r>
      <w:r w:rsidR="007648BE" w:rsidRPr="003A2857">
        <w:rPr>
          <w:rFonts w:hAnsi="宋体" w:hint="eastAsia"/>
          <w:color w:val="000000" w:themeColor="text1"/>
          <w:sz w:val="21"/>
          <w:szCs w:val="21"/>
        </w:rPr>
        <w:t>规定</w:t>
      </w:r>
      <w:r w:rsidRPr="003A2857">
        <w:rPr>
          <w:rFonts w:hAnsi="宋体" w:hint="eastAsia"/>
          <w:color w:val="000000" w:themeColor="text1"/>
          <w:sz w:val="21"/>
          <w:szCs w:val="21"/>
        </w:rPr>
        <w:t>报刊上，将基金份额发售公告、基金招募说明书、基金产品资料概要、基金合同和基金托管协议登载在</w:t>
      </w:r>
      <w:r w:rsidR="007648BE" w:rsidRPr="003A2857">
        <w:rPr>
          <w:rFonts w:hAnsi="宋体" w:hint="eastAsia"/>
          <w:color w:val="000000" w:themeColor="text1"/>
          <w:sz w:val="21"/>
          <w:szCs w:val="21"/>
        </w:rPr>
        <w:t>规定</w:t>
      </w:r>
      <w:r w:rsidRPr="003A2857">
        <w:rPr>
          <w:rFonts w:hAnsi="宋体" w:hint="eastAsia"/>
          <w:color w:val="000000" w:themeColor="text1"/>
          <w:sz w:val="21"/>
          <w:szCs w:val="21"/>
        </w:rPr>
        <w:t>网站上；基金托管人应当同时将基金合同、基金托管协议登载在</w:t>
      </w:r>
      <w:r w:rsidR="007648BE" w:rsidRPr="003A2857">
        <w:rPr>
          <w:rFonts w:hAnsi="宋体" w:hint="eastAsia"/>
          <w:color w:val="000000" w:themeColor="text1"/>
          <w:sz w:val="21"/>
          <w:szCs w:val="21"/>
        </w:rPr>
        <w:t>规定</w:t>
      </w:r>
      <w:r w:rsidRPr="003A2857">
        <w:rPr>
          <w:rFonts w:hAnsi="宋体" w:hint="eastAsia"/>
          <w:color w:val="000000" w:themeColor="text1"/>
          <w:sz w:val="21"/>
          <w:szCs w:val="21"/>
        </w:rPr>
        <w:t>网站上。</w:t>
      </w:r>
    </w:p>
    <w:p w14:paraId="397F573B"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10.2.</w:t>
      </w:r>
      <w:r w:rsidRPr="003A2857">
        <w:rPr>
          <w:rFonts w:hAnsi="宋体"/>
          <w:color w:val="000000" w:themeColor="text1"/>
          <w:sz w:val="21"/>
          <w:szCs w:val="21"/>
        </w:rPr>
        <w:t>4</w:t>
      </w:r>
      <w:r w:rsidRPr="003A2857">
        <w:rPr>
          <w:rFonts w:hAnsi="宋体" w:hint="eastAsia"/>
          <w:color w:val="000000" w:themeColor="text1"/>
          <w:sz w:val="21"/>
          <w:szCs w:val="21"/>
        </w:rPr>
        <w:t>基金托管人应当按照相关法律法规、中国证监会的规定和《基金合同》的约定，对基金管理人编制的基金资产净值、基金份额净值、基金份额申购赎回价格、基金定期报告、</w:t>
      </w:r>
      <w:r w:rsidRPr="003A2857">
        <w:rPr>
          <w:rFonts w:hAnsi="宋体" w:hint="eastAsia"/>
          <w:color w:val="000000" w:themeColor="text1"/>
          <w:sz w:val="21"/>
          <w:szCs w:val="21"/>
        </w:rPr>
        <w:lastRenderedPageBreak/>
        <w:t>更新的招募说明书、基金产品资料概要、基金清算报告等公开披露的相关基金信息进行复核、审查，并向基金管理人出具书面文件或者盖章确认。</w:t>
      </w:r>
    </w:p>
    <w:p w14:paraId="6542369E"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10.2.</w:t>
      </w:r>
      <w:r w:rsidRPr="003A2857">
        <w:rPr>
          <w:rFonts w:hAnsi="宋体"/>
          <w:color w:val="000000" w:themeColor="text1"/>
          <w:sz w:val="21"/>
          <w:szCs w:val="21"/>
        </w:rPr>
        <w:t>5</w:t>
      </w:r>
      <w:r w:rsidRPr="003A2857">
        <w:rPr>
          <w:rFonts w:hAnsi="宋体" w:hint="eastAsia"/>
          <w:color w:val="000000" w:themeColor="text1"/>
          <w:sz w:val="21"/>
          <w:szCs w:val="21"/>
        </w:rPr>
        <w:t>基金年度</w:t>
      </w:r>
      <w:r w:rsidRPr="003A2857">
        <w:rPr>
          <w:rFonts w:hAnsi="宋体"/>
          <w:color w:val="000000" w:themeColor="text1"/>
          <w:sz w:val="21"/>
          <w:szCs w:val="21"/>
        </w:rPr>
        <w:t>报</w:t>
      </w:r>
      <w:r w:rsidRPr="003A2857">
        <w:rPr>
          <w:rFonts w:hAnsi="宋体" w:hint="eastAsia"/>
          <w:color w:val="000000" w:themeColor="text1"/>
          <w:sz w:val="21"/>
          <w:szCs w:val="21"/>
        </w:rPr>
        <w:t>告中的财务报告部分，经</w:t>
      </w:r>
      <w:r w:rsidR="00060C29" w:rsidRPr="003A2857">
        <w:rPr>
          <w:rFonts w:hAnsi="宋体" w:hint="eastAsia"/>
          <w:color w:val="000000" w:themeColor="text1"/>
          <w:sz w:val="21"/>
          <w:szCs w:val="21"/>
        </w:rPr>
        <w:t>符合《证券</w:t>
      </w:r>
      <w:r w:rsidR="00060C29" w:rsidRPr="003A2857">
        <w:rPr>
          <w:rFonts w:hAnsi="宋体"/>
          <w:color w:val="000000" w:themeColor="text1"/>
          <w:sz w:val="21"/>
          <w:szCs w:val="21"/>
        </w:rPr>
        <w:t>法</w:t>
      </w:r>
      <w:r w:rsidR="00060C29" w:rsidRPr="003A2857">
        <w:rPr>
          <w:rFonts w:hAnsi="宋体" w:hint="eastAsia"/>
          <w:color w:val="000000" w:themeColor="text1"/>
          <w:sz w:val="21"/>
          <w:szCs w:val="21"/>
        </w:rPr>
        <w:t>》规定</w:t>
      </w:r>
      <w:r w:rsidRPr="003A2857">
        <w:rPr>
          <w:rFonts w:hAnsi="宋体" w:hint="eastAsia"/>
          <w:color w:val="000000" w:themeColor="text1"/>
          <w:sz w:val="21"/>
          <w:szCs w:val="21"/>
        </w:rPr>
        <w:t>的会计师事务所审计后，方可披露。</w:t>
      </w:r>
    </w:p>
    <w:p w14:paraId="3836307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10.2.</w:t>
      </w:r>
      <w:r w:rsidRPr="003A2857">
        <w:rPr>
          <w:rFonts w:hAnsi="宋体"/>
          <w:color w:val="000000" w:themeColor="text1"/>
          <w:sz w:val="21"/>
          <w:szCs w:val="21"/>
        </w:rPr>
        <w:t>6</w:t>
      </w:r>
      <w:r w:rsidRPr="003A2857">
        <w:rPr>
          <w:rFonts w:hAnsi="宋体" w:hint="eastAsia"/>
          <w:color w:val="000000" w:themeColor="text1"/>
          <w:sz w:val="21"/>
          <w:szCs w:val="21"/>
        </w:rPr>
        <w:t>基金管理人应当在中国证监会规定的时间内，将应予披露的基金信息通过基金管理人网站和中国证监会</w:t>
      </w:r>
      <w:r w:rsidR="00C11109" w:rsidRPr="003A2857">
        <w:rPr>
          <w:rFonts w:hAnsi="宋体" w:hint="eastAsia"/>
          <w:color w:val="000000" w:themeColor="text1"/>
          <w:sz w:val="21"/>
          <w:szCs w:val="21"/>
        </w:rPr>
        <w:t>规定</w:t>
      </w:r>
      <w:r w:rsidRPr="003A2857">
        <w:rPr>
          <w:rFonts w:hAnsi="宋体" w:hint="eastAsia"/>
          <w:color w:val="000000" w:themeColor="text1"/>
          <w:sz w:val="21"/>
          <w:szCs w:val="21"/>
        </w:rPr>
        <w:t>媒介披露。根据法律法规应由基金托管人公开披露的信息，基金托管人将通过中国证监会</w:t>
      </w:r>
      <w:r w:rsidR="009860C1" w:rsidRPr="003A2857">
        <w:rPr>
          <w:rFonts w:hAnsi="宋体" w:hint="eastAsia"/>
          <w:color w:val="000000" w:themeColor="text1"/>
          <w:sz w:val="21"/>
          <w:szCs w:val="21"/>
        </w:rPr>
        <w:t>规定</w:t>
      </w:r>
      <w:r w:rsidRPr="003A2857">
        <w:rPr>
          <w:rFonts w:hAnsi="宋体" w:hint="eastAsia"/>
          <w:color w:val="000000" w:themeColor="text1"/>
          <w:sz w:val="21"/>
          <w:szCs w:val="21"/>
        </w:rPr>
        <w:t>媒介公开披露。</w:t>
      </w:r>
    </w:p>
    <w:p w14:paraId="11EE937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10.2.</w:t>
      </w:r>
      <w:r w:rsidRPr="003A2857">
        <w:rPr>
          <w:rFonts w:hAnsi="宋体"/>
          <w:color w:val="000000" w:themeColor="text1"/>
          <w:sz w:val="21"/>
          <w:szCs w:val="21"/>
        </w:rPr>
        <w:t>7</w:t>
      </w:r>
      <w:r w:rsidR="006C543A" w:rsidRPr="003A2857">
        <w:rPr>
          <w:rFonts w:hAnsi="宋体"/>
          <w:color w:val="000000" w:themeColor="text1"/>
          <w:sz w:val="21"/>
          <w:szCs w:val="21"/>
        </w:rPr>
        <w:t>依法必须披露的信息发布后，基金管理人、基金托管人应当按照相关法律法规规定将信息置备于公司住所，供社会公众查阅、复制</w:t>
      </w:r>
      <w:r w:rsidRPr="003A2857">
        <w:rPr>
          <w:rFonts w:hAnsi="宋体" w:hint="eastAsia"/>
          <w:color w:val="000000" w:themeColor="text1"/>
          <w:sz w:val="21"/>
          <w:szCs w:val="21"/>
        </w:rPr>
        <w:t>。</w:t>
      </w:r>
    </w:p>
    <w:p w14:paraId="089ADE5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10.3暂停或延迟信息披露的情形</w:t>
      </w:r>
    </w:p>
    <w:p w14:paraId="2DE271D9" w14:textId="3B7E25DB" w:rsidR="00950499" w:rsidRDefault="005541ED" w:rsidP="000A6174">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（1）不可抗力；</w:t>
      </w:r>
    </w:p>
    <w:p w14:paraId="1DD26683" w14:textId="0FF6AF4A" w:rsidR="000A6174" w:rsidRPr="000A6174" w:rsidRDefault="000A6174"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w:t>
      </w:r>
      <w:r>
        <w:rPr>
          <w:rFonts w:hAnsi="宋体"/>
          <w:color w:val="000000" w:themeColor="text1"/>
          <w:sz w:val="21"/>
          <w:szCs w:val="21"/>
        </w:rPr>
        <w:t>2</w:t>
      </w:r>
      <w:r w:rsidRPr="003A2857">
        <w:rPr>
          <w:rFonts w:hAnsi="宋体" w:hint="eastAsia"/>
          <w:color w:val="000000" w:themeColor="text1"/>
          <w:sz w:val="21"/>
          <w:szCs w:val="21"/>
        </w:rPr>
        <w:t>）</w:t>
      </w:r>
      <w:r w:rsidRPr="000A6174">
        <w:rPr>
          <w:rFonts w:hAnsi="宋体" w:hint="eastAsia"/>
          <w:color w:val="000000" w:themeColor="text1"/>
          <w:sz w:val="21"/>
          <w:szCs w:val="21"/>
        </w:rPr>
        <w:t>基金投资所涉及的证券/期货交易市场或外汇市场遇法定节假日或因其他原因暂停营业时。</w:t>
      </w:r>
    </w:p>
    <w:p w14:paraId="63366E7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bookmarkStart w:id="38" w:name="_Hlk64976092"/>
      <w:r w:rsidRPr="003A2857">
        <w:rPr>
          <w:rFonts w:hAnsi="宋体" w:hint="eastAsia"/>
          <w:color w:val="000000" w:themeColor="text1"/>
          <w:sz w:val="21"/>
          <w:szCs w:val="21"/>
        </w:rPr>
        <w:t>（3）</w:t>
      </w:r>
      <w:r w:rsidRPr="003A2857">
        <w:rPr>
          <w:rFonts w:hint="eastAsia"/>
          <w:bCs/>
          <w:color w:val="000000" w:themeColor="text1"/>
          <w:sz w:val="21"/>
          <w:szCs w:val="21"/>
        </w:rPr>
        <w:t>发生暂停估值的情形；</w:t>
      </w:r>
    </w:p>
    <w:bookmarkEnd w:id="38"/>
    <w:p w14:paraId="3A37D25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（4）法律法规、基金合同或中国证监会规定的情况。</w:t>
      </w:r>
    </w:p>
    <w:p w14:paraId="0A8E60E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10.4基金托管人报告</w:t>
      </w:r>
    </w:p>
    <w:p w14:paraId="13274D7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基金托管人应按《基金法》、《运作办法》、《信息披露办法》和其他有关法律法规的规定于每个上半年度结束后两个</w:t>
      </w:r>
      <w:r w:rsidRPr="003A2857">
        <w:rPr>
          <w:rFonts w:hAnsi="宋体"/>
          <w:color w:val="000000" w:themeColor="text1"/>
          <w:sz w:val="21"/>
          <w:szCs w:val="21"/>
        </w:rPr>
        <w:t>月</w:t>
      </w:r>
      <w:r w:rsidRPr="003A2857">
        <w:rPr>
          <w:rFonts w:hAnsi="宋体" w:hint="eastAsia"/>
          <w:color w:val="000000" w:themeColor="text1"/>
          <w:sz w:val="21"/>
          <w:szCs w:val="21"/>
        </w:rPr>
        <w:t>内、每个会计年度结束后三个</w:t>
      </w:r>
      <w:r w:rsidRPr="003A2857">
        <w:rPr>
          <w:rFonts w:hAnsi="宋体"/>
          <w:color w:val="000000" w:themeColor="text1"/>
          <w:sz w:val="21"/>
          <w:szCs w:val="21"/>
        </w:rPr>
        <w:t>月</w:t>
      </w:r>
      <w:r w:rsidRPr="003A2857">
        <w:rPr>
          <w:rFonts w:hAnsi="宋体" w:hint="eastAsia"/>
          <w:color w:val="000000" w:themeColor="text1"/>
          <w:sz w:val="21"/>
          <w:szCs w:val="21"/>
        </w:rPr>
        <w:t>内在基金中期报告及年度报告中分别出具基金托管人报告，</w:t>
      </w:r>
      <w:r w:rsidRPr="003A2857">
        <w:rPr>
          <w:rFonts w:hAnsi="宋体"/>
          <w:color w:val="000000" w:themeColor="text1"/>
          <w:sz w:val="21"/>
          <w:szCs w:val="21"/>
        </w:rPr>
        <w:t>并提交给基金管理人</w:t>
      </w:r>
      <w:r w:rsidRPr="003A2857">
        <w:rPr>
          <w:rFonts w:hAnsi="宋体" w:hint="eastAsia"/>
          <w:color w:val="000000" w:themeColor="text1"/>
          <w:sz w:val="21"/>
          <w:szCs w:val="21"/>
        </w:rPr>
        <w:t>。</w:t>
      </w:r>
    </w:p>
    <w:p w14:paraId="65D38AC5" w14:textId="77777777" w:rsidR="00950499" w:rsidRPr="003A2857" w:rsidRDefault="005541ED" w:rsidP="00FB2E71">
      <w:pPr>
        <w:pStyle w:val="1"/>
        <w:spacing w:line="520" w:lineRule="atLeast"/>
        <w:ind w:firstLineChars="200" w:firstLine="422"/>
        <w:rPr>
          <w:bCs/>
          <w:color w:val="000000" w:themeColor="text1"/>
          <w:sz w:val="21"/>
          <w:szCs w:val="21"/>
        </w:rPr>
      </w:pPr>
      <w:bookmarkStart w:id="39" w:name="_Toc296551347"/>
      <w:bookmarkStart w:id="40" w:name="_Toc200545742"/>
      <w:r w:rsidRPr="003A2857">
        <w:rPr>
          <w:rFonts w:hint="eastAsia"/>
          <w:bCs/>
          <w:color w:val="000000" w:themeColor="text1"/>
          <w:sz w:val="21"/>
          <w:szCs w:val="21"/>
        </w:rPr>
        <w:t>第十一条 基金费用</w:t>
      </w:r>
      <w:bookmarkEnd w:id="39"/>
      <w:bookmarkEnd w:id="40"/>
    </w:p>
    <w:p w14:paraId="7F7F9EC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11.1基金管理费的计提比例和计提方法</w:t>
      </w:r>
    </w:p>
    <w:p w14:paraId="5DFB11C2" w14:textId="45A12281" w:rsidR="00E05C97" w:rsidRPr="003A2857" w:rsidRDefault="00E05C97"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t>本基金的管理费按前一日基金资产净值的1.</w:t>
      </w:r>
      <w:r w:rsidR="004F2C02">
        <w:rPr>
          <w:rFonts w:hAnsi="宋体"/>
          <w:color w:val="000000" w:themeColor="text1"/>
          <w:sz w:val="21"/>
          <w:szCs w:val="21"/>
        </w:rPr>
        <w:t>2</w:t>
      </w:r>
      <w:r w:rsidRPr="003A2857">
        <w:rPr>
          <w:rFonts w:hAnsi="宋体" w:hint="eastAsia"/>
          <w:color w:val="000000" w:themeColor="text1"/>
          <w:sz w:val="21"/>
          <w:szCs w:val="21"/>
        </w:rPr>
        <w:t>0%年费率计提。管理费的计算方法如下：</w:t>
      </w:r>
    </w:p>
    <w:p w14:paraId="03E514D3" w14:textId="51B59298" w:rsidR="00E05C97" w:rsidRPr="003A2857" w:rsidRDefault="00E05C97" w:rsidP="00E05C97">
      <w:pPr>
        <w:pStyle w:val="20"/>
        <w:spacing w:line="520" w:lineRule="atLeast"/>
        <w:rPr>
          <w:rFonts w:hAnsi="宋体"/>
          <w:color w:val="000000" w:themeColor="text1"/>
          <w:sz w:val="21"/>
          <w:szCs w:val="21"/>
        </w:rPr>
      </w:pPr>
      <w:r w:rsidRPr="003A2857">
        <w:rPr>
          <w:rFonts w:hAnsi="宋体" w:hint="eastAsia"/>
          <w:color w:val="000000" w:themeColor="text1"/>
          <w:sz w:val="21"/>
          <w:szCs w:val="21"/>
        </w:rPr>
        <w:t>H＝E×1.</w:t>
      </w:r>
      <w:r w:rsidR="004F2C02">
        <w:rPr>
          <w:rFonts w:hAnsi="宋体"/>
          <w:color w:val="000000" w:themeColor="text1"/>
          <w:sz w:val="21"/>
          <w:szCs w:val="21"/>
        </w:rPr>
        <w:t>2</w:t>
      </w:r>
      <w:r w:rsidRPr="003A2857">
        <w:rPr>
          <w:rFonts w:hAnsi="宋体" w:hint="eastAsia"/>
          <w:color w:val="000000" w:themeColor="text1"/>
          <w:sz w:val="21"/>
          <w:szCs w:val="21"/>
        </w:rPr>
        <w:t>0%÷当年天数</w:t>
      </w:r>
    </w:p>
    <w:p w14:paraId="065C91DC" w14:textId="77777777" w:rsidR="00E05C97" w:rsidRPr="003A2857" w:rsidRDefault="00E05C97" w:rsidP="00E05C97">
      <w:pPr>
        <w:pStyle w:val="20"/>
        <w:spacing w:line="520" w:lineRule="atLeast"/>
        <w:rPr>
          <w:rFonts w:hAnsi="宋体"/>
          <w:color w:val="000000" w:themeColor="text1"/>
          <w:sz w:val="21"/>
          <w:szCs w:val="21"/>
        </w:rPr>
      </w:pPr>
      <w:r w:rsidRPr="003A2857">
        <w:rPr>
          <w:rFonts w:hAnsi="宋体" w:hint="eastAsia"/>
          <w:color w:val="000000" w:themeColor="text1"/>
          <w:sz w:val="21"/>
          <w:szCs w:val="21"/>
        </w:rPr>
        <w:t>H为每日应计提的基金管理费</w:t>
      </w:r>
    </w:p>
    <w:p w14:paraId="28546909" w14:textId="77777777" w:rsidR="00950499" w:rsidRPr="003A2857" w:rsidRDefault="00E05C97"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E为前一日的基金资产净值</w:t>
      </w:r>
      <w:r w:rsidR="005541ED" w:rsidRPr="003A2857">
        <w:rPr>
          <w:rFonts w:hAnsi="宋体" w:hint="eastAsia"/>
          <w:color w:val="000000" w:themeColor="text1"/>
          <w:sz w:val="21"/>
          <w:szCs w:val="21"/>
        </w:rPr>
        <w:t>基金管理费每日计算，逐日累计至每月月末，按月支付，由基金管理人与基金托管人核对一致后，基金托管人按照与基金管理人协商一致的方式于次月</w:t>
      </w:r>
      <w:r w:rsidR="005541ED" w:rsidRPr="003A2857">
        <w:rPr>
          <w:rFonts w:hAnsi="宋体" w:hint="eastAsia"/>
          <w:color w:val="000000" w:themeColor="text1"/>
          <w:sz w:val="21"/>
          <w:szCs w:val="21"/>
        </w:rPr>
        <w:lastRenderedPageBreak/>
        <w:t>前5个工作日内从基金财产中一次性支付给基金管理人。若遇法定节假日、休息日或不可抗力致使无法按时支付的，支付日期顺延。</w:t>
      </w:r>
    </w:p>
    <w:p w14:paraId="494E360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11.2基金托管费的计提比例和计提方法</w:t>
      </w:r>
    </w:p>
    <w:p w14:paraId="587B16B0" w14:textId="336F662A" w:rsidR="00E05C97" w:rsidRPr="003A2857" w:rsidRDefault="00E05C97"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t>本基金的托管费按前一日基金资产净值的0.2</w:t>
      </w:r>
      <w:r w:rsidR="000A6174">
        <w:rPr>
          <w:rFonts w:hAnsi="宋体"/>
          <w:color w:val="000000" w:themeColor="text1"/>
          <w:sz w:val="21"/>
          <w:szCs w:val="21"/>
        </w:rPr>
        <w:t>0</w:t>
      </w:r>
      <w:r w:rsidRPr="003A2857">
        <w:rPr>
          <w:rFonts w:hAnsi="宋体" w:hint="eastAsia"/>
          <w:color w:val="000000" w:themeColor="text1"/>
          <w:sz w:val="21"/>
          <w:szCs w:val="21"/>
        </w:rPr>
        <w:t>%的年费率计提。托管费的计算方法如下：</w:t>
      </w:r>
    </w:p>
    <w:p w14:paraId="0522329C" w14:textId="3368C4AD" w:rsidR="00E05C97" w:rsidRPr="003A2857" w:rsidRDefault="00E05C97" w:rsidP="00E05C97">
      <w:pPr>
        <w:pStyle w:val="20"/>
        <w:spacing w:line="520" w:lineRule="atLeast"/>
        <w:rPr>
          <w:rFonts w:hAnsi="宋体"/>
          <w:color w:val="000000" w:themeColor="text1"/>
          <w:sz w:val="21"/>
          <w:szCs w:val="21"/>
        </w:rPr>
      </w:pPr>
      <w:r w:rsidRPr="003A2857">
        <w:rPr>
          <w:rFonts w:hAnsi="宋体" w:hint="eastAsia"/>
          <w:color w:val="000000" w:themeColor="text1"/>
          <w:sz w:val="21"/>
          <w:szCs w:val="21"/>
        </w:rPr>
        <w:t>H＝E×0.2</w:t>
      </w:r>
      <w:r w:rsidR="000A6174">
        <w:rPr>
          <w:rFonts w:hAnsi="宋体"/>
          <w:color w:val="000000" w:themeColor="text1"/>
          <w:sz w:val="21"/>
          <w:szCs w:val="21"/>
        </w:rPr>
        <w:t>0</w:t>
      </w:r>
      <w:r w:rsidRPr="003A2857">
        <w:rPr>
          <w:rFonts w:hAnsi="宋体" w:hint="eastAsia"/>
          <w:color w:val="000000" w:themeColor="text1"/>
          <w:sz w:val="21"/>
          <w:szCs w:val="21"/>
        </w:rPr>
        <w:t>%÷当年天数</w:t>
      </w:r>
    </w:p>
    <w:p w14:paraId="0BFC47E4" w14:textId="77777777" w:rsidR="00E05C97" w:rsidRPr="003A2857" w:rsidRDefault="00E05C97" w:rsidP="00E05C97">
      <w:pPr>
        <w:pStyle w:val="20"/>
        <w:spacing w:line="520" w:lineRule="atLeast"/>
        <w:rPr>
          <w:rFonts w:hAnsi="宋体"/>
          <w:color w:val="000000" w:themeColor="text1"/>
          <w:sz w:val="21"/>
          <w:szCs w:val="21"/>
        </w:rPr>
      </w:pPr>
      <w:r w:rsidRPr="003A2857">
        <w:rPr>
          <w:rFonts w:hAnsi="宋体" w:hint="eastAsia"/>
          <w:color w:val="000000" w:themeColor="text1"/>
          <w:sz w:val="21"/>
          <w:szCs w:val="21"/>
        </w:rPr>
        <w:t>H为每日应计提的基金托管费</w:t>
      </w:r>
    </w:p>
    <w:p w14:paraId="685EB8A9" w14:textId="77777777" w:rsidR="00950499" w:rsidRPr="003A2857" w:rsidRDefault="00E05C97"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E为前一日的基金资产净值</w:t>
      </w:r>
      <w:r w:rsidR="005541ED" w:rsidRPr="003A2857">
        <w:rPr>
          <w:rFonts w:hAnsi="宋体" w:hint="eastAsia"/>
          <w:color w:val="000000" w:themeColor="text1"/>
          <w:sz w:val="21"/>
          <w:szCs w:val="21"/>
        </w:rPr>
        <w:t>基金托管费每日计算，逐日累计至每月月末，按月支付，由基金管理人与基金托管人核对一致后，基金托管人按照与基金管理人协商一致的方式于次月前5个工作日内从基金财产中一次性支取。若遇法定节假日、休息日或不可抗力致使无法按时支付的，支付日期顺延。</w:t>
      </w:r>
    </w:p>
    <w:p w14:paraId="14DF2C8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11.3销售服务费的计提比例和计提方法</w:t>
      </w:r>
    </w:p>
    <w:p w14:paraId="1E9C8201" w14:textId="77777777" w:rsidR="000A6174" w:rsidRPr="000A6174" w:rsidRDefault="000A6174" w:rsidP="000A6174">
      <w:pPr>
        <w:pStyle w:val="20"/>
        <w:spacing w:before="0" w:after="0" w:line="520" w:lineRule="atLeast"/>
        <w:ind w:left="0" w:firstLineChars="200" w:firstLine="420"/>
        <w:rPr>
          <w:rFonts w:hAnsi="宋体"/>
          <w:color w:val="000000" w:themeColor="text1"/>
          <w:sz w:val="21"/>
          <w:szCs w:val="21"/>
        </w:rPr>
      </w:pPr>
      <w:r w:rsidRPr="000A6174">
        <w:rPr>
          <w:rFonts w:hAnsi="宋体" w:hint="eastAsia"/>
          <w:color w:val="000000" w:themeColor="text1"/>
          <w:sz w:val="21"/>
          <w:szCs w:val="21"/>
        </w:rPr>
        <w:t>销售服务费可用于本基金市场推广、销售以及基金份额持有人服务等各项费用。本基金份额分为不同的类别，适用不同的销售服务费率。其中，A类基金份额不收取销售服务费，C类基金份额销售服务费年费率为0.60%。</w:t>
      </w:r>
    </w:p>
    <w:p w14:paraId="75341AE1" w14:textId="77777777" w:rsidR="000A6174" w:rsidRPr="000A6174" w:rsidRDefault="000A6174" w:rsidP="000A6174">
      <w:pPr>
        <w:pStyle w:val="20"/>
        <w:spacing w:before="0" w:after="0" w:line="520" w:lineRule="atLeast"/>
        <w:ind w:left="0" w:firstLineChars="200" w:firstLine="420"/>
        <w:rPr>
          <w:rFonts w:hAnsi="宋体"/>
          <w:color w:val="000000" w:themeColor="text1"/>
          <w:sz w:val="21"/>
          <w:szCs w:val="21"/>
        </w:rPr>
      </w:pPr>
      <w:r w:rsidRPr="000A6174">
        <w:rPr>
          <w:rFonts w:hAnsi="宋体" w:hint="eastAsia"/>
          <w:color w:val="000000" w:themeColor="text1"/>
          <w:sz w:val="21"/>
          <w:szCs w:val="21"/>
        </w:rPr>
        <w:t>C类基金份额的销售服务费计算方法如下：</w:t>
      </w:r>
    </w:p>
    <w:p w14:paraId="6AF8249E" w14:textId="77777777" w:rsidR="000A6174" w:rsidRPr="000A6174" w:rsidRDefault="000A6174" w:rsidP="000A6174">
      <w:pPr>
        <w:pStyle w:val="20"/>
        <w:spacing w:before="0" w:after="0" w:line="520" w:lineRule="atLeast"/>
        <w:ind w:left="0" w:firstLineChars="200" w:firstLine="420"/>
        <w:rPr>
          <w:rFonts w:hAnsi="宋体"/>
          <w:color w:val="000000" w:themeColor="text1"/>
          <w:sz w:val="21"/>
          <w:szCs w:val="21"/>
        </w:rPr>
      </w:pPr>
      <w:r w:rsidRPr="000A6174">
        <w:rPr>
          <w:rFonts w:hAnsi="宋体" w:hint="eastAsia"/>
          <w:color w:val="000000" w:themeColor="text1"/>
          <w:sz w:val="21"/>
          <w:szCs w:val="21"/>
        </w:rPr>
        <w:t>H＝E×R÷当年天数</w:t>
      </w:r>
    </w:p>
    <w:p w14:paraId="4CA1BD68" w14:textId="77777777" w:rsidR="000A6174" w:rsidRPr="000A6174" w:rsidRDefault="000A6174" w:rsidP="000A6174">
      <w:pPr>
        <w:pStyle w:val="20"/>
        <w:spacing w:before="0" w:after="0" w:line="520" w:lineRule="atLeast"/>
        <w:ind w:left="0" w:firstLineChars="200" w:firstLine="420"/>
        <w:rPr>
          <w:rFonts w:hAnsi="宋体"/>
          <w:color w:val="000000" w:themeColor="text1"/>
          <w:sz w:val="21"/>
          <w:szCs w:val="21"/>
        </w:rPr>
      </w:pPr>
      <w:r w:rsidRPr="000A6174">
        <w:rPr>
          <w:rFonts w:hAnsi="宋体" w:hint="eastAsia"/>
          <w:color w:val="000000" w:themeColor="text1"/>
          <w:sz w:val="21"/>
          <w:szCs w:val="21"/>
        </w:rPr>
        <w:t>H为C类基金份额每日应计提的销售服务费</w:t>
      </w:r>
    </w:p>
    <w:p w14:paraId="73EC09EE" w14:textId="77777777" w:rsidR="000A6174" w:rsidRPr="000A6174" w:rsidRDefault="000A6174" w:rsidP="000A6174">
      <w:pPr>
        <w:pStyle w:val="20"/>
        <w:spacing w:before="0" w:after="0" w:line="520" w:lineRule="atLeast"/>
        <w:ind w:left="0" w:firstLineChars="200" w:firstLine="420"/>
        <w:rPr>
          <w:rFonts w:hAnsi="宋体"/>
          <w:color w:val="000000" w:themeColor="text1"/>
          <w:sz w:val="21"/>
          <w:szCs w:val="21"/>
        </w:rPr>
      </w:pPr>
      <w:r w:rsidRPr="000A6174">
        <w:rPr>
          <w:rFonts w:hAnsi="宋体" w:hint="eastAsia"/>
          <w:color w:val="000000" w:themeColor="text1"/>
          <w:sz w:val="21"/>
          <w:szCs w:val="21"/>
        </w:rPr>
        <w:t>E为C类基金份额前一日基金资产净值</w:t>
      </w:r>
    </w:p>
    <w:p w14:paraId="3CE491AD" w14:textId="77777777" w:rsidR="000A6174" w:rsidRDefault="000A6174" w:rsidP="000A6174">
      <w:pPr>
        <w:pStyle w:val="20"/>
        <w:spacing w:before="0" w:after="0" w:line="520" w:lineRule="atLeast"/>
        <w:ind w:left="0" w:firstLineChars="200" w:firstLine="420"/>
        <w:rPr>
          <w:rFonts w:hAnsi="宋体"/>
          <w:color w:val="000000" w:themeColor="text1"/>
          <w:sz w:val="21"/>
          <w:szCs w:val="21"/>
        </w:rPr>
      </w:pPr>
      <w:r w:rsidRPr="000A6174">
        <w:rPr>
          <w:rFonts w:hAnsi="宋体" w:hint="eastAsia"/>
          <w:color w:val="000000" w:themeColor="text1"/>
          <w:sz w:val="21"/>
          <w:szCs w:val="21"/>
        </w:rPr>
        <w:t>R为C类基金份额适用的销售服务费率</w:t>
      </w:r>
    </w:p>
    <w:p w14:paraId="73C4D086" w14:textId="4C17820A" w:rsidR="00950499" w:rsidRPr="003A2857" w:rsidRDefault="005541ED" w:rsidP="000A6174">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基金销售服务费每日计提，逐日累计至每月月末，按月支付。由基金管理人与基金托管人核对一致后，基金托管人按照与基金管理人协商一致的方式于次月前</w:t>
      </w:r>
      <w:r w:rsidRPr="003A2857">
        <w:rPr>
          <w:rFonts w:hAnsi="宋体"/>
          <w:color w:val="000000" w:themeColor="text1"/>
          <w:sz w:val="21"/>
          <w:szCs w:val="21"/>
        </w:rPr>
        <w:t>5个工作日内从基金财产中一次性支付给各销售机构，或一次性支付给基金管理人并由基金管理人代付给各基金销售机构。</w:t>
      </w:r>
      <w:r w:rsidRPr="003A2857">
        <w:rPr>
          <w:rFonts w:hAnsi="宋体" w:hint="eastAsia"/>
          <w:color w:val="000000" w:themeColor="text1"/>
          <w:sz w:val="21"/>
          <w:szCs w:val="21"/>
        </w:rPr>
        <w:t>若遇法定节假日、休息日或不可抗力致使无法按时支付的，支付日期顺延。</w:t>
      </w:r>
    </w:p>
    <w:p w14:paraId="60809C0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11.4为基金财产及基金运作所开立账户的开户费、证券</w:t>
      </w:r>
      <w:r w:rsidR="002D2708" w:rsidRPr="003A2857">
        <w:rPr>
          <w:rFonts w:hAnsi="宋体" w:hint="eastAsia"/>
          <w:color w:val="000000" w:themeColor="text1"/>
          <w:sz w:val="21"/>
          <w:szCs w:val="21"/>
        </w:rPr>
        <w:t>、期货</w:t>
      </w:r>
      <w:r w:rsidRPr="003A2857">
        <w:rPr>
          <w:rFonts w:hAnsi="宋体" w:hint="eastAsia"/>
          <w:color w:val="000000" w:themeColor="text1"/>
          <w:sz w:val="21"/>
          <w:szCs w:val="21"/>
        </w:rPr>
        <w:t>交易费用</w:t>
      </w:r>
      <w:r w:rsidR="002D2708" w:rsidRPr="003A2857">
        <w:rPr>
          <w:rFonts w:hAnsi="宋体" w:hint="eastAsia"/>
          <w:color w:val="000000" w:themeColor="text1"/>
          <w:sz w:val="21"/>
          <w:szCs w:val="21"/>
        </w:rPr>
        <w:t>（包括但不限于经手费、印花税、证管费、过户费、手续费、券商佣金、融资费、证券</w:t>
      </w:r>
      <w:r w:rsidR="002D2708" w:rsidRPr="003A2857">
        <w:rPr>
          <w:rFonts w:hAnsi="宋体"/>
          <w:color w:val="000000" w:themeColor="text1"/>
          <w:sz w:val="21"/>
          <w:szCs w:val="21"/>
        </w:rPr>
        <w:t>/期货账户相关费用及其他类似性质的费用等）</w:t>
      </w:r>
      <w:r w:rsidRPr="003A2857">
        <w:rPr>
          <w:rFonts w:hAnsi="宋体" w:hint="eastAsia"/>
          <w:color w:val="000000" w:themeColor="text1"/>
          <w:sz w:val="21"/>
          <w:szCs w:val="21"/>
        </w:rPr>
        <w:t>、基金合同生效后与</w:t>
      </w:r>
      <w:r w:rsidRPr="003A2857">
        <w:rPr>
          <w:rFonts w:hAnsi="宋体"/>
          <w:color w:val="000000" w:themeColor="text1"/>
          <w:sz w:val="21"/>
          <w:szCs w:val="21"/>
        </w:rPr>
        <w:t>基金相关</w:t>
      </w:r>
      <w:r w:rsidRPr="003A2857">
        <w:rPr>
          <w:rFonts w:hAnsi="宋体" w:hint="eastAsia"/>
          <w:color w:val="000000" w:themeColor="text1"/>
          <w:sz w:val="21"/>
          <w:szCs w:val="21"/>
        </w:rPr>
        <w:t>的信息披露费用</w:t>
      </w:r>
      <w:r w:rsidR="004A446E" w:rsidRPr="003A2857">
        <w:rPr>
          <w:rFonts w:hAnsi="宋体" w:hint="eastAsia"/>
          <w:color w:val="000000" w:themeColor="text1"/>
          <w:sz w:val="21"/>
          <w:szCs w:val="21"/>
        </w:rPr>
        <w:t>（除法律法规、中</w:t>
      </w:r>
      <w:r w:rsidR="004A446E" w:rsidRPr="003A2857">
        <w:rPr>
          <w:rFonts w:hAnsi="宋体" w:hint="eastAsia"/>
          <w:color w:val="000000" w:themeColor="text1"/>
          <w:sz w:val="21"/>
          <w:szCs w:val="21"/>
        </w:rPr>
        <w:lastRenderedPageBreak/>
        <w:t>国证监会另有规定外）</w:t>
      </w:r>
      <w:r w:rsidRPr="003A2857">
        <w:rPr>
          <w:rFonts w:hAnsi="宋体" w:hint="eastAsia"/>
          <w:color w:val="000000" w:themeColor="text1"/>
          <w:sz w:val="21"/>
          <w:szCs w:val="21"/>
        </w:rPr>
        <w:t>、基金份额持有人大会费用、基金合同生效后与基金相关的会计师费、律师费</w:t>
      </w:r>
      <w:r w:rsidRPr="003A2857">
        <w:rPr>
          <w:rFonts w:hint="eastAsia"/>
          <w:bCs/>
          <w:color w:val="000000" w:themeColor="text1"/>
          <w:sz w:val="21"/>
          <w:szCs w:val="21"/>
        </w:rPr>
        <w:t>、仲裁费</w:t>
      </w:r>
      <w:r w:rsidRPr="003A2857">
        <w:rPr>
          <w:bCs/>
          <w:color w:val="000000" w:themeColor="text1"/>
          <w:sz w:val="21"/>
          <w:szCs w:val="21"/>
        </w:rPr>
        <w:t>和诉讼费</w:t>
      </w:r>
      <w:r w:rsidRPr="003A2857">
        <w:rPr>
          <w:rFonts w:hint="eastAsia"/>
          <w:bCs/>
          <w:color w:val="000000" w:themeColor="text1"/>
          <w:sz w:val="21"/>
          <w:szCs w:val="21"/>
        </w:rPr>
        <w:t>、</w:t>
      </w:r>
      <w:r w:rsidRPr="003A2857">
        <w:rPr>
          <w:bCs/>
          <w:color w:val="000000" w:themeColor="text1"/>
          <w:sz w:val="21"/>
          <w:szCs w:val="21"/>
        </w:rPr>
        <w:t>基金的银行</w:t>
      </w:r>
      <w:r w:rsidR="0094750A" w:rsidRPr="003A2857">
        <w:rPr>
          <w:rFonts w:hint="eastAsia"/>
          <w:color w:val="000000" w:themeColor="text1"/>
          <w:sz w:val="21"/>
          <w:szCs w:val="21"/>
        </w:rPr>
        <w:t>汇划费用</w:t>
      </w:r>
      <w:r w:rsidR="0094750A" w:rsidRPr="003A2857">
        <w:rPr>
          <w:rFonts w:hint="eastAsia"/>
          <w:bCs/>
          <w:color w:val="000000" w:themeColor="text1"/>
          <w:sz w:val="21"/>
          <w:szCs w:val="21"/>
        </w:rPr>
        <w:t>、账户维护费</w:t>
      </w:r>
      <w:r w:rsidRPr="003A2857">
        <w:rPr>
          <w:rFonts w:asciiTheme="minorEastAsia" w:eastAsiaTheme="minorEastAsia" w:hAnsiTheme="minorEastAsia" w:hint="eastAsia"/>
          <w:bCs/>
          <w:color w:val="000000" w:themeColor="text1"/>
          <w:sz w:val="21"/>
          <w:szCs w:val="21"/>
        </w:rPr>
        <w:t>、</w:t>
      </w:r>
      <w:r w:rsidR="0094750A" w:rsidRPr="003A2857">
        <w:rPr>
          <w:rFonts w:asciiTheme="minorEastAsia" w:eastAsiaTheme="minorEastAsia" w:hAnsiTheme="minorEastAsia" w:hint="eastAsia"/>
          <w:bCs/>
          <w:color w:val="000000" w:themeColor="text1"/>
          <w:sz w:val="21"/>
          <w:szCs w:val="21"/>
        </w:rPr>
        <w:t>因投资港股通标的股票而产生的各项合理费用</w:t>
      </w:r>
      <w:r w:rsidRPr="003A2857">
        <w:rPr>
          <w:rFonts w:hAnsi="宋体" w:hint="eastAsia"/>
          <w:color w:val="000000" w:themeColor="text1"/>
          <w:sz w:val="21"/>
          <w:szCs w:val="21"/>
        </w:rPr>
        <w:t>等根据有关法律法规、基金合同及相应协议的规定，由基金托管人按基金管理人的划款指令并根据费用实际支出金额支付，列入或摊入当期基金费用。</w:t>
      </w:r>
    </w:p>
    <w:p w14:paraId="40EF131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11.</w:t>
      </w:r>
      <w:r w:rsidRPr="003A2857">
        <w:rPr>
          <w:rFonts w:hAnsi="宋体"/>
          <w:color w:val="000000" w:themeColor="text1"/>
          <w:sz w:val="21"/>
          <w:szCs w:val="21"/>
        </w:rPr>
        <w:t>5</w:t>
      </w:r>
      <w:r w:rsidRPr="003A2857">
        <w:rPr>
          <w:rFonts w:hAnsi="宋体" w:hint="eastAsia"/>
          <w:color w:val="000000" w:themeColor="text1"/>
          <w:sz w:val="21"/>
          <w:szCs w:val="21"/>
        </w:rPr>
        <w:t>不列入基金费用的项目</w:t>
      </w:r>
    </w:p>
    <w:p w14:paraId="2EBCED1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管理人与基金托管人因未履行或未完全履行义务导致的费用支出或基金财产的损失，以及处理与基金运作无关的事项发生的费用等不列入基金费用。基金合同生效前所发生的信息披露费、律师费、验资费和会计师费以及其他费用不从基金财产中支付。其他根据相关法律法规及中国证监会的有关规定不得列入基金费用的项目也不列入基金费用。</w:t>
      </w:r>
    </w:p>
    <w:p w14:paraId="6C9A72FE" w14:textId="75D6E9AB"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11.</w:t>
      </w:r>
      <w:r w:rsidR="007171D3">
        <w:rPr>
          <w:rFonts w:hAnsi="宋体"/>
          <w:color w:val="000000" w:themeColor="text1"/>
          <w:sz w:val="21"/>
          <w:szCs w:val="21"/>
        </w:rPr>
        <w:t>6</w:t>
      </w:r>
      <w:r w:rsidRPr="003A2857">
        <w:rPr>
          <w:rFonts w:hAnsi="宋体" w:hint="eastAsia"/>
          <w:color w:val="000000" w:themeColor="text1"/>
          <w:sz w:val="21"/>
          <w:szCs w:val="21"/>
        </w:rPr>
        <w:t>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p>
    <w:p w14:paraId="7C3A7D2B" w14:textId="3A897423" w:rsidR="00EF0FAE" w:rsidRPr="003A2857" w:rsidRDefault="00EF0FAE"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w:t>
      </w:r>
      <w:r w:rsidRPr="003A2857">
        <w:rPr>
          <w:rFonts w:hAnsi="宋体"/>
          <w:color w:val="000000" w:themeColor="text1"/>
          <w:sz w:val="21"/>
          <w:szCs w:val="21"/>
        </w:rPr>
        <w:t>1.</w:t>
      </w:r>
      <w:r w:rsidR="007171D3">
        <w:rPr>
          <w:rFonts w:hAnsi="宋体"/>
          <w:color w:val="000000" w:themeColor="text1"/>
          <w:sz w:val="21"/>
          <w:szCs w:val="21"/>
        </w:rPr>
        <w:t>7</w:t>
      </w:r>
      <w:r w:rsidRPr="003A2857">
        <w:rPr>
          <w:rFonts w:hAnsi="宋体"/>
          <w:color w:val="000000" w:themeColor="text1"/>
          <w:sz w:val="21"/>
          <w:szCs w:val="21"/>
        </w:rPr>
        <w:t>实施侧袋机制期间的基金费用</w:t>
      </w:r>
    </w:p>
    <w:p w14:paraId="6AE0E769" w14:textId="77777777" w:rsidR="00EF0FAE" w:rsidRPr="003A2857" w:rsidRDefault="00EF0FAE" w:rsidP="00FB2E71">
      <w:pPr>
        <w:pStyle w:val="20"/>
        <w:spacing w:before="0" w:after="0" w:line="520" w:lineRule="atLeast"/>
        <w:ind w:left="0" w:firstLineChars="200" w:firstLine="420"/>
        <w:rPr>
          <w:rFonts w:hAnsi="宋体"/>
          <w:color w:val="000000" w:themeColor="text1"/>
          <w:sz w:val="21"/>
          <w:szCs w:val="21"/>
        </w:rPr>
      </w:pPr>
      <w:r w:rsidRPr="003A2857">
        <w:rPr>
          <w:rFonts w:hAnsi="宋体"/>
          <w:color w:val="000000" w:themeColor="text1"/>
          <w:sz w:val="21"/>
          <w:szCs w:val="21"/>
        </w:rPr>
        <w:t>本基金实施侧袋机制的，与侧袋账户有关的费用可以从侧袋账户中列支，但应待侧袋账户资产变现后方可列支，有关费用可酌情收取或减免，但不得收取管理费，详见招募说明书的规定。</w:t>
      </w:r>
    </w:p>
    <w:p w14:paraId="511A8CAC" w14:textId="77777777" w:rsidR="00950499" w:rsidRPr="003A2857" w:rsidRDefault="005541ED" w:rsidP="00FB2E71">
      <w:pPr>
        <w:pStyle w:val="1"/>
        <w:spacing w:line="520" w:lineRule="atLeast"/>
        <w:ind w:firstLineChars="200" w:firstLine="422"/>
        <w:rPr>
          <w:bCs/>
          <w:color w:val="000000" w:themeColor="text1"/>
          <w:sz w:val="21"/>
          <w:szCs w:val="21"/>
        </w:rPr>
      </w:pPr>
      <w:bookmarkStart w:id="41" w:name="_Toc296551348"/>
      <w:bookmarkStart w:id="42" w:name="_Toc200545743"/>
      <w:r w:rsidRPr="003A2857">
        <w:rPr>
          <w:rFonts w:hint="eastAsia"/>
          <w:bCs/>
          <w:color w:val="000000" w:themeColor="text1"/>
          <w:sz w:val="21"/>
          <w:szCs w:val="21"/>
        </w:rPr>
        <w:t>第十二条 基金份额持有人名册的保管</w:t>
      </w:r>
      <w:bookmarkEnd w:id="41"/>
      <w:bookmarkEnd w:id="42"/>
    </w:p>
    <w:p w14:paraId="0293811F" w14:textId="1ACFAB88"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12.1</w:t>
      </w:r>
      <w:bookmarkStart w:id="43" w:name="_Hlk194333565"/>
      <w:r w:rsidRPr="003A2857">
        <w:rPr>
          <w:rFonts w:hAnsi="宋体" w:hint="eastAsia"/>
          <w:color w:val="000000" w:themeColor="text1"/>
          <w:sz w:val="21"/>
          <w:szCs w:val="21"/>
        </w:rPr>
        <w:t>基金管理人和基金托管人须分别妥善保管基金份额持有人名册，基金份额持有人名册的内容必须包括基金份额持有人的名称和持有的基金份额。</w:t>
      </w:r>
      <w:r w:rsidR="00236499" w:rsidRPr="003A2857">
        <w:rPr>
          <w:rFonts w:hAnsi="宋体" w:hint="eastAsia"/>
          <w:color w:val="000000" w:themeColor="text1"/>
          <w:sz w:val="21"/>
          <w:szCs w:val="21"/>
        </w:rPr>
        <w:t>基金管理人应</w:t>
      </w:r>
      <w:r w:rsidR="003A3C14">
        <w:rPr>
          <w:rFonts w:hAnsi="宋体" w:hint="eastAsia"/>
          <w:color w:val="000000" w:themeColor="text1"/>
          <w:sz w:val="21"/>
          <w:szCs w:val="21"/>
        </w:rPr>
        <w:t>定期或不定期</w:t>
      </w:r>
      <w:r w:rsidR="00236499" w:rsidRPr="003A2857">
        <w:rPr>
          <w:rFonts w:hAnsi="宋体" w:hint="eastAsia"/>
          <w:color w:val="000000" w:themeColor="text1"/>
          <w:sz w:val="21"/>
          <w:szCs w:val="21"/>
        </w:rPr>
        <w:t>向基金托管人</w:t>
      </w:r>
      <w:r w:rsidR="003A3C14">
        <w:rPr>
          <w:rFonts w:hAnsi="宋体" w:hint="eastAsia"/>
          <w:color w:val="000000" w:themeColor="text1"/>
          <w:sz w:val="21"/>
          <w:szCs w:val="21"/>
        </w:rPr>
        <w:t>提供</w:t>
      </w:r>
      <w:r w:rsidR="00236499" w:rsidRPr="003A2857">
        <w:rPr>
          <w:rFonts w:hAnsi="宋体" w:hint="eastAsia"/>
          <w:color w:val="000000" w:themeColor="text1"/>
          <w:sz w:val="21"/>
          <w:szCs w:val="21"/>
        </w:rPr>
        <w:t>基金份额持有人名册。</w:t>
      </w:r>
    </w:p>
    <w:p w14:paraId="6FCD458B" w14:textId="6B014EF0"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12.2基金份额持有人名册由基金的基金登记机构根据基金管理人的指令编制和保管，基金管理人和基金托管人应按照目前相关规则分别保管基金份额持有人名册。保管方式可以采用电子或文档的形式。保管期限</w:t>
      </w:r>
      <w:r w:rsidR="003A3C14" w:rsidRPr="00202812">
        <w:rPr>
          <w:rFonts w:ascii="Times New Roman" w:eastAsiaTheme="minorEastAsia" w:hint="eastAsia"/>
          <w:sz w:val="21"/>
          <w:szCs w:val="21"/>
        </w:rPr>
        <w:t>不低于</w:t>
      </w:r>
      <w:r w:rsidR="003A3C14" w:rsidRPr="00670326">
        <w:rPr>
          <w:rFonts w:ascii="Times New Roman" w:hint="eastAsia"/>
          <w:sz w:val="21"/>
        </w:rPr>
        <w:t>法律法规规定的</w:t>
      </w:r>
      <w:r w:rsidR="003A3C14" w:rsidRPr="00202812">
        <w:rPr>
          <w:rFonts w:ascii="Times New Roman" w:eastAsiaTheme="minorEastAsia" w:hint="eastAsia"/>
          <w:sz w:val="21"/>
          <w:szCs w:val="21"/>
        </w:rPr>
        <w:t>最低期限</w:t>
      </w:r>
      <w:r w:rsidRPr="003A2857">
        <w:rPr>
          <w:rFonts w:hAnsi="宋体" w:hint="eastAsia"/>
          <w:color w:val="000000" w:themeColor="text1"/>
          <w:sz w:val="21"/>
          <w:szCs w:val="21"/>
        </w:rPr>
        <w:t>，</w:t>
      </w:r>
      <w:r w:rsidRPr="003A2857">
        <w:rPr>
          <w:rFonts w:hAnsi="宋体"/>
          <w:color w:val="000000" w:themeColor="text1"/>
          <w:sz w:val="21"/>
          <w:szCs w:val="21"/>
        </w:rPr>
        <w:t>法律法规或监管规则另有</w:t>
      </w:r>
      <w:r w:rsidRPr="003A2857">
        <w:rPr>
          <w:rFonts w:hAnsi="宋体" w:hint="eastAsia"/>
          <w:color w:val="000000" w:themeColor="text1"/>
          <w:sz w:val="21"/>
          <w:szCs w:val="21"/>
        </w:rPr>
        <w:t>规定</w:t>
      </w:r>
      <w:r w:rsidRPr="003A2857">
        <w:rPr>
          <w:rFonts w:hAnsi="宋体"/>
          <w:color w:val="000000" w:themeColor="text1"/>
          <w:sz w:val="21"/>
          <w:szCs w:val="21"/>
        </w:rPr>
        <w:t>的，从其规定</w:t>
      </w:r>
      <w:r w:rsidRPr="003A2857">
        <w:rPr>
          <w:rFonts w:hAnsi="宋体" w:hint="eastAsia"/>
          <w:color w:val="000000" w:themeColor="text1"/>
          <w:sz w:val="21"/>
          <w:szCs w:val="21"/>
        </w:rPr>
        <w:t>。</w:t>
      </w:r>
    </w:p>
    <w:p w14:paraId="30F1EA0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12.</w:t>
      </w:r>
      <w:r w:rsidRPr="003A2857">
        <w:rPr>
          <w:rFonts w:hAnsi="宋体"/>
          <w:color w:val="000000" w:themeColor="text1"/>
          <w:sz w:val="21"/>
          <w:szCs w:val="21"/>
        </w:rPr>
        <w:t>3</w:t>
      </w:r>
      <w:r w:rsidRPr="003A2857">
        <w:rPr>
          <w:rFonts w:hAnsi="宋体" w:hint="eastAsia"/>
          <w:color w:val="000000" w:themeColor="text1"/>
          <w:sz w:val="21"/>
          <w:szCs w:val="21"/>
        </w:rPr>
        <w:t>若基金管理人或基金托管人由于自身原因无法妥善保管基金份额持有人名册，应按有关法规规定各自承担相应的责任。</w:t>
      </w:r>
      <w:bookmarkEnd w:id="43"/>
    </w:p>
    <w:p w14:paraId="4BACA533" w14:textId="77777777" w:rsidR="00950499" w:rsidRPr="003A2857" w:rsidRDefault="005541ED" w:rsidP="00FB2E71">
      <w:pPr>
        <w:pStyle w:val="1"/>
        <w:spacing w:line="520" w:lineRule="atLeast"/>
        <w:ind w:firstLineChars="200" w:firstLine="422"/>
        <w:rPr>
          <w:bCs/>
          <w:color w:val="000000" w:themeColor="text1"/>
          <w:sz w:val="21"/>
          <w:szCs w:val="21"/>
        </w:rPr>
      </w:pPr>
      <w:bookmarkStart w:id="44" w:name="_Toc296551349"/>
      <w:bookmarkStart w:id="45" w:name="_Toc200545744"/>
      <w:r w:rsidRPr="003A2857">
        <w:rPr>
          <w:rFonts w:hint="eastAsia"/>
          <w:bCs/>
          <w:color w:val="000000" w:themeColor="text1"/>
          <w:sz w:val="21"/>
          <w:szCs w:val="21"/>
        </w:rPr>
        <w:lastRenderedPageBreak/>
        <w:t>第十三条 基金有关文件和档案的保存</w:t>
      </w:r>
      <w:bookmarkEnd w:id="44"/>
      <w:bookmarkEnd w:id="45"/>
    </w:p>
    <w:p w14:paraId="394A835F" w14:textId="3921A39F"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13.1基金管理人、基金托管人按各自职责完整保存原始凭证、记账凭证、基金账册、交易记录和重要合同等，保存期限</w:t>
      </w:r>
      <w:r w:rsidR="003A3C14" w:rsidRPr="00202812">
        <w:rPr>
          <w:rFonts w:ascii="Times New Roman" w:eastAsiaTheme="minorEastAsia" w:hint="eastAsia"/>
          <w:sz w:val="21"/>
          <w:szCs w:val="21"/>
        </w:rPr>
        <w:t>不低于</w:t>
      </w:r>
      <w:r w:rsidR="003A3C14" w:rsidRPr="00670326">
        <w:rPr>
          <w:rFonts w:ascii="Times New Roman" w:hint="eastAsia"/>
          <w:sz w:val="21"/>
        </w:rPr>
        <w:t>法律法规规定的</w:t>
      </w:r>
      <w:r w:rsidR="003A3C14" w:rsidRPr="00202812">
        <w:rPr>
          <w:rFonts w:ascii="Times New Roman" w:eastAsiaTheme="minorEastAsia" w:hint="eastAsia"/>
          <w:sz w:val="21"/>
          <w:szCs w:val="21"/>
        </w:rPr>
        <w:t>最低期限</w:t>
      </w:r>
      <w:r w:rsidRPr="003A2857">
        <w:rPr>
          <w:rFonts w:hAnsi="宋体" w:hint="eastAsia"/>
          <w:color w:val="000000" w:themeColor="text1"/>
          <w:sz w:val="21"/>
          <w:szCs w:val="21"/>
        </w:rPr>
        <w:t>，对相关信息负有保密义务，但</w:t>
      </w:r>
      <w:r w:rsidRPr="003A2857">
        <w:rPr>
          <w:rFonts w:asciiTheme="minorEastAsia" w:eastAsiaTheme="minorEastAsia" w:hAnsiTheme="minorEastAsia" w:hint="eastAsia"/>
          <w:color w:val="000000" w:themeColor="text1"/>
          <w:sz w:val="21"/>
          <w:szCs w:val="21"/>
        </w:rPr>
        <w:t>本协议另有约定或</w:t>
      </w:r>
      <w:r w:rsidRPr="003A2857">
        <w:rPr>
          <w:rFonts w:hAnsi="宋体" w:hint="eastAsia"/>
          <w:color w:val="000000" w:themeColor="text1"/>
          <w:sz w:val="21"/>
          <w:szCs w:val="21"/>
        </w:rPr>
        <w:t>根据有关法律法规规定或有权机关要求披露的除外。其中，基金管理人应保存基金财产管理业务活动的记录、账册、报表和其他相关资料，基金托管人应保存基金托管业务活动的记录、账册、报表和其他相关资料。</w:t>
      </w:r>
    </w:p>
    <w:p w14:paraId="7A9EB84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13.2基金管理人签署重大合同文本后，应及时将合同文本正本送达基金托管人处。基金管理人应及时将与本基金账务处理、资金划拨等有关的合同、协议传真给基金托管人。</w:t>
      </w:r>
    </w:p>
    <w:p w14:paraId="3610D47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13.3基金管理人或基金托管人变更后，未变更的一方有义务协助接任人接受基金的有关文件。</w:t>
      </w:r>
    </w:p>
    <w:p w14:paraId="3EB47E93" w14:textId="77777777" w:rsidR="00950499" w:rsidRPr="003A2857" w:rsidRDefault="005541ED" w:rsidP="00FB2E71">
      <w:pPr>
        <w:pStyle w:val="1"/>
        <w:spacing w:line="520" w:lineRule="atLeast"/>
        <w:ind w:firstLineChars="200" w:firstLine="422"/>
        <w:rPr>
          <w:bCs/>
          <w:color w:val="000000" w:themeColor="text1"/>
          <w:sz w:val="21"/>
          <w:szCs w:val="21"/>
        </w:rPr>
      </w:pPr>
      <w:bookmarkStart w:id="46" w:name="_Toc296551350"/>
      <w:bookmarkStart w:id="47" w:name="_Toc200545745"/>
      <w:r w:rsidRPr="003A2857">
        <w:rPr>
          <w:rFonts w:hint="eastAsia"/>
          <w:bCs/>
          <w:color w:val="000000" w:themeColor="text1"/>
          <w:sz w:val="21"/>
          <w:szCs w:val="21"/>
        </w:rPr>
        <w:t>第十四条 基金管理人和基金托管人的更换</w:t>
      </w:r>
      <w:bookmarkEnd w:id="46"/>
      <w:bookmarkEnd w:id="47"/>
    </w:p>
    <w:p w14:paraId="2D68ABF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14.1基金管理人的更换</w:t>
      </w:r>
    </w:p>
    <w:p w14:paraId="2399DF0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14.1.1基金管理人的更换条件</w:t>
      </w:r>
    </w:p>
    <w:p w14:paraId="610EB1A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有下列情形之一的，基金管理人职责终止：</w:t>
      </w:r>
    </w:p>
    <w:p w14:paraId="0BC2AC97"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（1）基金管理人被依法取消基金管理资格；</w:t>
      </w:r>
    </w:p>
    <w:p w14:paraId="4663CA9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（2）基金管理人依法解散、被依法撤销或者被依法宣告破产；</w:t>
      </w:r>
    </w:p>
    <w:p w14:paraId="7D5EC88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（3）基金管理人被基金份额持有人大会解任；</w:t>
      </w:r>
    </w:p>
    <w:p w14:paraId="383F070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（4）法律法规</w:t>
      </w:r>
      <w:r w:rsidRPr="003A2857">
        <w:rPr>
          <w:rFonts w:hint="eastAsia"/>
          <w:bCs/>
          <w:color w:val="000000" w:themeColor="text1"/>
          <w:sz w:val="21"/>
          <w:szCs w:val="21"/>
        </w:rPr>
        <w:t>及中国证监会规定的</w:t>
      </w:r>
      <w:r w:rsidRPr="003A2857">
        <w:rPr>
          <w:rFonts w:hAnsi="宋体" w:hint="eastAsia"/>
          <w:color w:val="000000" w:themeColor="text1"/>
          <w:sz w:val="21"/>
          <w:szCs w:val="21"/>
        </w:rPr>
        <w:t>和基金合同规定的其他情形。</w:t>
      </w:r>
    </w:p>
    <w:p w14:paraId="64FD95A5"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14.1.2基金管理人的更换程序</w:t>
      </w:r>
    </w:p>
    <w:p w14:paraId="6F62CFA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更换基金管理人必须依照如下程序进行：</w:t>
      </w:r>
    </w:p>
    <w:p w14:paraId="3CC61FE7" w14:textId="77777777" w:rsidR="00E05C97" w:rsidRPr="003A2857" w:rsidRDefault="005541ED"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t>（1）</w:t>
      </w:r>
      <w:r w:rsidR="00E05C97" w:rsidRPr="003A2857">
        <w:rPr>
          <w:rFonts w:hAnsi="宋体" w:hint="eastAsia"/>
          <w:color w:val="000000" w:themeColor="text1"/>
          <w:sz w:val="21"/>
          <w:szCs w:val="21"/>
        </w:rPr>
        <w:t>提名：新任基金管理人由基金托管人或由单独或合计持有10%以上（含10%）基金份额的基金份额持有人提名。</w:t>
      </w:r>
    </w:p>
    <w:p w14:paraId="17C2A4BB" w14:textId="77777777" w:rsidR="00E05C97" w:rsidRPr="003A2857" w:rsidRDefault="00E05C97"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t>（2）决议：基金份额持有人大会在基金管理人职责终止后6个月内对被提名的基金管理人形成决议，该决议需经参加大会的基金份额持有人所持表决权的三分之二以上（含三分之二）表决通过，决议自表决通过之日起生效。</w:t>
      </w:r>
    </w:p>
    <w:p w14:paraId="21365C2C" w14:textId="77777777" w:rsidR="00E05C97" w:rsidRPr="003A2857" w:rsidRDefault="00E05C97"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t>（3）临时基金管理人：新任基金管理人产生之前，由中国证监会指定临时基金管理人。</w:t>
      </w:r>
    </w:p>
    <w:p w14:paraId="3D7ACD57" w14:textId="5A8EE607" w:rsidR="00E05C97" w:rsidRPr="003A2857" w:rsidRDefault="00E05C97"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lastRenderedPageBreak/>
        <w:t>（4）备案：基金份额持有人大会</w:t>
      </w:r>
      <w:r w:rsidR="002847EA">
        <w:rPr>
          <w:rFonts w:hAnsi="宋体"/>
          <w:color w:val="000000" w:themeColor="text1"/>
          <w:sz w:val="21"/>
          <w:szCs w:val="21"/>
        </w:rPr>
        <w:t>更换</w:t>
      </w:r>
      <w:r w:rsidRPr="003A2857">
        <w:rPr>
          <w:rFonts w:hAnsi="宋体" w:hint="eastAsia"/>
          <w:color w:val="000000" w:themeColor="text1"/>
          <w:sz w:val="21"/>
          <w:szCs w:val="21"/>
        </w:rPr>
        <w:t>基金管理人的决议须报中国证监会备案。</w:t>
      </w:r>
    </w:p>
    <w:p w14:paraId="2B2455C7" w14:textId="77777777" w:rsidR="00E05C97" w:rsidRPr="003A2857" w:rsidRDefault="00E05C97"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t>（5）公告：基金管理人更换后，由基金托管人在更换基金管理人的基金份额持有人大会决议生效后2日内在规定媒介公告。</w:t>
      </w:r>
    </w:p>
    <w:p w14:paraId="2BFB7E99" w14:textId="77777777" w:rsidR="00E05C97" w:rsidRPr="003A2857" w:rsidRDefault="00E05C97"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t>（6）交接：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p>
    <w:p w14:paraId="6A347C1C" w14:textId="77777777" w:rsidR="00E05C97" w:rsidRPr="003A2857" w:rsidRDefault="00E05C97"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t>（7）审计：基金管理人职责终止的，应当按照法律法规规定聘请会计师事务所对基金财产进行审计，并将审计结果予以公告，同时报中国证监会备案。审计费用由基金财产承担。</w:t>
      </w:r>
    </w:p>
    <w:p w14:paraId="7A8A37C7" w14:textId="77777777" w:rsidR="00E05C97" w:rsidRPr="003A2857" w:rsidRDefault="00E05C97" w:rsidP="00E05C97">
      <w:pPr>
        <w:pStyle w:val="20"/>
        <w:spacing w:line="520" w:lineRule="atLeast"/>
        <w:ind w:left="0" w:firstLine="420"/>
        <w:rPr>
          <w:rFonts w:hAnsi="宋体"/>
          <w:color w:val="000000" w:themeColor="text1"/>
          <w:sz w:val="21"/>
          <w:szCs w:val="21"/>
        </w:rPr>
      </w:pPr>
      <w:r w:rsidRPr="003A2857">
        <w:rPr>
          <w:rFonts w:hAnsi="宋体" w:hint="eastAsia"/>
          <w:color w:val="000000" w:themeColor="text1"/>
          <w:sz w:val="21"/>
          <w:szCs w:val="21"/>
        </w:rPr>
        <w:t>（8）基金名称变更：基金管理人更换后，如果原任或新任基金管理人要求，应按其要求替换或删除基金名称中与原基金管理人有关的名称字样。</w:t>
      </w:r>
    </w:p>
    <w:p w14:paraId="238AC5EE"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14.2基金托管人的更换</w:t>
      </w:r>
    </w:p>
    <w:p w14:paraId="1DD8000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14.2.1基金托管人的更换条件</w:t>
      </w:r>
    </w:p>
    <w:p w14:paraId="0285A16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有下列情形之一的，基金托管人职责终止：</w:t>
      </w:r>
    </w:p>
    <w:p w14:paraId="5B8CA662"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（1）基金托管人被依法取消基金托管资格；</w:t>
      </w:r>
    </w:p>
    <w:p w14:paraId="3DD7D485"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（2）基金托管人依法解散、被依法撤销或者被依法宣布破产；</w:t>
      </w:r>
    </w:p>
    <w:p w14:paraId="1C00D7C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（3）基金托管人被基金份额持有人大会解任；</w:t>
      </w:r>
    </w:p>
    <w:p w14:paraId="6762782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（4）法律法规</w:t>
      </w:r>
      <w:r w:rsidRPr="003A2857">
        <w:rPr>
          <w:rFonts w:hint="eastAsia"/>
          <w:bCs/>
          <w:color w:val="000000" w:themeColor="text1"/>
          <w:sz w:val="21"/>
          <w:szCs w:val="21"/>
        </w:rPr>
        <w:t>及中国证监会规定的</w:t>
      </w:r>
      <w:r w:rsidRPr="003A2857">
        <w:rPr>
          <w:rFonts w:hAnsi="宋体" w:hint="eastAsia"/>
          <w:color w:val="000000" w:themeColor="text1"/>
          <w:sz w:val="21"/>
          <w:szCs w:val="21"/>
        </w:rPr>
        <w:t>和基金合同规定的其他情形。</w:t>
      </w:r>
    </w:p>
    <w:p w14:paraId="47A87D55"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14.2.2基金托管人的更换程序</w:t>
      </w:r>
    </w:p>
    <w:p w14:paraId="25DD07D0" w14:textId="77777777" w:rsidR="00E05C97" w:rsidRPr="003A2857" w:rsidRDefault="005541ED" w:rsidP="00E05C97">
      <w:pPr>
        <w:pStyle w:val="20"/>
        <w:spacing w:line="520" w:lineRule="atLeast"/>
        <w:ind w:firstLine="361"/>
        <w:rPr>
          <w:rFonts w:hAnsi="宋体"/>
          <w:color w:val="000000" w:themeColor="text1"/>
          <w:sz w:val="21"/>
          <w:szCs w:val="21"/>
        </w:rPr>
      </w:pPr>
      <w:r w:rsidRPr="003A2857">
        <w:rPr>
          <w:rFonts w:hAnsi="宋体" w:hint="eastAsia"/>
          <w:color w:val="000000" w:themeColor="text1"/>
          <w:sz w:val="21"/>
          <w:szCs w:val="21"/>
        </w:rPr>
        <w:t>（1）</w:t>
      </w:r>
      <w:r w:rsidR="00E05C97" w:rsidRPr="003A2857">
        <w:rPr>
          <w:rFonts w:hAnsi="宋体" w:hint="eastAsia"/>
          <w:color w:val="000000" w:themeColor="text1"/>
          <w:sz w:val="21"/>
          <w:szCs w:val="21"/>
        </w:rPr>
        <w:t>提名：新任基金托管人由基金管理人或由单独或合计持有10%以上（含10%）基金份额的基金份额持有人提名。</w:t>
      </w:r>
    </w:p>
    <w:p w14:paraId="2B81798D" w14:textId="77777777" w:rsidR="00E05C97" w:rsidRPr="003A2857" w:rsidRDefault="00E05C97" w:rsidP="00FB2E71">
      <w:pPr>
        <w:pStyle w:val="20"/>
        <w:spacing w:line="520" w:lineRule="atLeast"/>
        <w:ind w:firstLineChars="200" w:firstLine="420"/>
        <w:rPr>
          <w:rFonts w:hAnsi="宋体"/>
          <w:color w:val="000000" w:themeColor="text1"/>
          <w:sz w:val="21"/>
          <w:szCs w:val="21"/>
        </w:rPr>
      </w:pPr>
      <w:r w:rsidRPr="003A2857">
        <w:rPr>
          <w:rFonts w:hAnsi="宋体" w:hint="eastAsia"/>
          <w:color w:val="000000" w:themeColor="text1"/>
          <w:sz w:val="21"/>
          <w:szCs w:val="21"/>
        </w:rPr>
        <w:t>（2）决议：基金份额持有人大会在基金托管人职责终止后6个月内对被提名的基金托管人形成决议，该决议需经参加大会的基金份额持有人所持表决权的三分之二以上（含三分之二）表决通过，决议自表决通过之日起生效。</w:t>
      </w:r>
    </w:p>
    <w:p w14:paraId="2120D889" w14:textId="77777777" w:rsidR="00E05C97" w:rsidRPr="003A2857" w:rsidRDefault="00E05C97" w:rsidP="00FB2E71">
      <w:pPr>
        <w:pStyle w:val="20"/>
        <w:spacing w:line="520" w:lineRule="atLeast"/>
        <w:ind w:firstLineChars="200" w:firstLine="420"/>
        <w:rPr>
          <w:rFonts w:hAnsi="宋体"/>
          <w:color w:val="000000" w:themeColor="text1"/>
          <w:sz w:val="21"/>
          <w:szCs w:val="21"/>
        </w:rPr>
      </w:pPr>
      <w:r w:rsidRPr="003A2857">
        <w:rPr>
          <w:rFonts w:hAnsi="宋体" w:hint="eastAsia"/>
          <w:color w:val="000000" w:themeColor="text1"/>
          <w:sz w:val="21"/>
          <w:szCs w:val="21"/>
        </w:rPr>
        <w:t>（3）临时基金托管人：新任基金托管人产生之前，由中国证监会指定临时基金托</w:t>
      </w:r>
      <w:r w:rsidRPr="003A2857">
        <w:rPr>
          <w:rFonts w:hAnsi="宋体" w:hint="eastAsia"/>
          <w:color w:val="000000" w:themeColor="text1"/>
          <w:sz w:val="21"/>
          <w:szCs w:val="21"/>
        </w:rPr>
        <w:lastRenderedPageBreak/>
        <w:t>管人。</w:t>
      </w:r>
    </w:p>
    <w:p w14:paraId="041FD019" w14:textId="77777777" w:rsidR="00E05C97" w:rsidRPr="003A2857" w:rsidRDefault="00E05C97" w:rsidP="00FB2E71">
      <w:pPr>
        <w:pStyle w:val="20"/>
        <w:spacing w:line="520" w:lineRule="atLeast"/>
        <w:ind w:firstLineChars="200" w:firstLine="420"/>
        <w:rPr>
          <w:rFonts w:hAnsi="宋体"/>
          <w:color w:val="000000" w:themeColor="text1"/>
          <w:sz w:val="21"/>
          <w:szCs w:val="21"/>
        </w:rPr>
      </w:pPr>
      <w:r w:rsidRPr="003A2857">
        <w:rPr>
          <w:rFonts w:hAnsi="宋体" w:hint="eastAsia"/>
          <w:color w:val="000000" w:themeColor="text1"/>
          <w:sz w:val="21"/>
          <w:szCs w:val="21"/>
        </w:rPr>
        <w:t>（4）备案：基金份额持有人大会更换基金托管人的决议须报中国证监会备案。</w:t>
      </w:r>
    </w:p>
    <w:p w14:paraId="537EF7C4" w14:textId="77777777" w:rsidR="00E05C97" w:rsidRPr="003A2857" w:rsidRDefault="00E05C97" w:rsidP="00FB2E71">
      <w:pPr>
        <w:pStyle w:val="20"/>
        <w:spacing w:line="520" w:lineRule="atLeast"/>
        <w:ind w:firstLineChars="200" w:firstLine="420"/>
        <w:rPr>
          <w:rFonts w:hAnsi="宋体"/>
          <w:color w:val="000000" w:themeColor="text1"/>
          <w:sz w:val="21"/>
          <w:szCs w:val="21"/>
        </w:rPr>
      </w:pPr>
      <w:r w:rsidRPr="003A2857">
        <w:rPr>
          <w:rFonts w:hAnsi="宋体" w:hint="eastAsia"/>
          <w:color w:val="000000" w:themeColor="text1"/>
          <w:sz w:val="21"/>
          <w:szCs w:val="21"/>
        </w:rPr>
        <w:t>（5）公告：基金托管人更换后，由基金管理人在更换基金托管人的基金份额持有人大会决议生效后2日内在规定媒介公告。</w:t>
      </w:r>
    </w:p>
    <w:p w14:paraId="48F40C3E" w14:textId="77777777" w:rsidR="00E05C97" w:rsidRPr="003A2857" w:rsidRDefault="00E05C97" w:rsidP="00FB2E71">
      <w:pPr>
        <w:pStyle w:val="20"/>
        <w:spacing w:line="520" w:lineRule="atLeast"/>
        <w:ind w:firstLineChars="200" w:firstLine="420"/>
        <w:rPr>
          <w:rFonts w:hAnsi="宋体"/>
          <w:color w:val="000000" w:themeColor="text1"/>
          <w:sz w:val="21"/>
          <w:szCs w:val="21"/>
        </w:rPr>
      </w:pPr>
      <w:r w:rsidRPr="003A2857">
        <w:rPr>
          <w:rFonts w:hAnsi="宋体" w:hint="eastAsia"/>
          <w:color w:val="000000" w:themeColor="text1"/>
          <w:sz w:val="21"/>
          <w:szCs w:val="21"/>
        </w:rPr>
        <w:t>（6）交接：基金托管人职责终止的，基金托管人应当妥善保管基金财产和基金托管业务资料，及时向临时基金托管人或新任基金托管人办理基金财产和基金托管业务的移交手续，新任基金托管人或者临时基金托管人应当及时接收。新任基金托管人或临时基金托管人应与基金管理人核对基金资产总值和净值。</w:t>
      </w:r>
    </w:p>
    <w:p w14:paraId="558691E5" w14:textId="77777777" w:rsidR="00950499" w:rsidRPr="003A2857" w:rsidRDefault="00E05C97" w:rsidP="00FB2E71">
      <w:pPr>
        <w:pStyle w:val="20"/>
        <w:spacing w:line="520" w:lineRule="atLeast"/>
        <w:ind w:firstLineChars="200" w:firstLine="420"/>
        <w:rPr>
          <w:rFonts w:hAnsi="宋体"/>
          <w:color w:val="000000" w:themeColor="text1"/>
          <w:sz w:val="21"/>
          <w:szCs w:val="21"/>
        </w:rPr>
      </w:pPr>
      <w:r w:rsidRPr="003A2857">
        <w:rPr>
          <w:rFonts w:hAnsi="宋体" w:hint="eastAsia"/>
          <w:color w:val="000000" w:themeColor="text1"/>
          <w:sz w:val="21"/>
          <w:szCs w:val="21"/>
        </w:rPr>
        <w:t>（7）审计：基金托管人职责终止的，应当按照法律法规规定聘请会计师事务所对基金财产进行审计，并将审计结果予以公告，同时报中国证监会备案。审计费用由基金财产承担</w:t>
      </w:r>
      <w:r w:rsidR="005541ED" w:rsidRPr="003A2857">
        <w:rPr>
          <w:rFonts w:hAnsi="宋体" w:hint="eastAsia"/>
          <w:color w:val="000000" w:themeColor="text1"/>
          <w:sz w:val="21"/>
          <w:szCs w:val="21"/>
        </w:rPr>
        <w:t>。</w:t>
      </w:r>
    </w:p>
    <w:p w14:paraId="2697E332"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14.3基金管理人与基金托管人同时更换</w:t>
      </w:r>
    </w:p>
    <w:p w14:paraId="2BF3C94F"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14.3.1提名：</w:t>
      </w:r>
      <w:r w:rsidR="00E05C97" w:rsidRPr="003A2857">
        <w:rPr>
          <w:rFonts w:hAnsi="宋体" w:hint="eastAsia"/>
          <w:color w:val="000000" w:themeColor="text1"/>
          <w:sz w:val="21"/>
          <w:szCs w:val="21"/>
        </w:rPr>
        <w:t>如果基金管理人和基金托管人同时更换，由单独或合计持有基金总份额10%以上（含10%）的基金份额持有人提名新的基金管理人和基金托管人</w:t>
      </w:r>
      <w:r w:rsidRPr="003A2857">
        <w:rPr>
          <w:rFonts w:hAnsi="宋体" w:hint="eastAsia"/>
          <w:color w:val="000000" w:themeColor="text1"/>
          <w:sz w:val="21"/>
          <w:szCs w:val="21"/>
        </w:rPr>
        <w:t>。</w:t>
      </w:r>
    </w:p>
    <w:p w14:paraId="427EB4D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14.3.2基金管理人和基金托管人的更换分别按上述程序进行。</w:t>
      </w:r>
    </w:p>
    <w:p w14:paraId="11ED61F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color w:val="000000" w:themeColor="text1"/>
          <w:sz w:val="21"/>
          <w:szCs w:val="21"/>
        </w:rPr>
        <w:t>14.3.3</w:t>
      </w:r>
      <w:r w:rsidR="00E05C97" w:rsidRPr="003A2857">
        <w:rPr>
          <w:rFonts w:hAnsi="宋体" w:hint="eastAsia"/>
          <w:color w:val="000000" w:themeColor="text1"/>
          <w:sz w:val="21"/>
          <w:szCs w:val="21"/>
        </w:rPr>
        <w:t>公告：新任基金管理人和新任基金托管人应在更换基金管理人和基金托管人的基金份额持有人大会决议生效后2日内在规定媒介上联合公告</w:t>
      </w:r>
      <w:r w:rsidRPr="003A2857">
        <w:rPr>
          <w:rFonts w:hAnsi="宋体" w:hint="eastAsia"/>
          <w:color w:val="000000" w:themeColor="text1"/>
          <w:sz w:val="21"/>
          <w:szCs w:val="21"/>
        </w:rPr>
        <w:t>。</w:t>
      </w:r>
    </w:p>
    <w:p w14:paraId="5AD43F35" w14:textId="325E1002" w:rsidR="00950499" w:rsidRPr="003A2857" w:rsidRDefault="005541ED" w:rsidP="00FB2E71">
      <w:pPr>
        <w:pStyle w:val="20"/>
        <w:spacing w:before="0" w:after="0" w:line="520" w:lineRule="atLeast"/>
        <w:ind w:left="0" w:firstLineChars="200" w:firstLine="420"/>
        <w:rPr>
          <w:bCs/>
          <w:color w:val="000000" w:themeColor="text1"/>
          <w:sz w:val="21"/>
          <w:szCs w:val="21"/>
        </w:rPr>
      </w:pPr>
      <w:r w:rsidRPr="003A2857">
        <w:rPr>
          <w:rFonts w:hAnsi="宋体" w:hint="eastAsia"/>
          <w:color w:val="000000" w:themeColor="text1"/>
          <w:sz w:val="21"/>
          <w:szCs w:val="21"/>
        </w:rPr>
        <w:t>14.4新任或临时基金管理人</w:t>
      </w:r>
      <w:r w:rsidRPr="003A2857">
        <w:rPr>
          <w:rFonts w:hint="eastAsia"/>
          <w:bCs/>
          <w:color w:val="000000" w:themeColor="text1"/>
          <w:sz w:val="21"/>
          <w:szCs w:val="21"/>
        </w:rPr>
        <w:t>接</w:t>
      </w:r>
      <w:r w:rsidR="002847EA">
        <w:rPr>
          <w:bCs/>
          <w:color w:val="000000" w:themeColor="text1"/>
          <w:sz w:val="21"/>
          <w:szCs w:val="21"/>
        </w:rPr>
        <w:t>收</w:t>
      </w:r>
      <w:r w:rsidRPr="003A2857">
        <w:rPr>
          <w:rFonts w:hAnsi="宋体" w:hint="eastAsia"/>
          <w:color w:val="000000" w:themeColor="text1"/>
          <w:sz w:val="21"/>
          <w:szCs w:val="21"/>
        </w:rPr>
        <w:t>基金管理业务或新任或临时基金托管人</w:t>
      </w:r>
      <w:r w:rsidRPr="003A2857">
        <w:rPr>
          <w:rFonts w:hint="eastAsia"/>
          <w:bCs/>
          <w:color w:val="000000" w:themeColor="text1"/>
          <w:sz w:val="21"/>
          <w:szCs w:val="21"/>
        </w:rPr>
        <w:t>接</w:t>
      </w:r>
      <w:r w:rsidR="002847EA">
        <w:rPr>
          <w:bCs/>
          <w:color w:val="000000" w:themeColor="text1"/>
          <w:sz w:val="21"/>
          <w:szCs w:val="21"/>
        </w:rPr>
        <w:t>收</w:t>
      </w:r>
      <w:r w:rsidRPr="003A2857">
        <w:rPr>
          <w:rFonts w:hAnsi="宋体" w:hint="eastAsia"/>
          <w:color w:val="000000" w:themeColor="text1"/>
          <w:sz w:val="21"/>
          <w:szCs w:val="21"/>
        </w:rPr>
        <w:t>基金财产和基金托管业务前，原基金管理人或原基金托管人应</w:t>
      </w:r>
      <w:bookmarkStart w:id="48" w:name="_Hlk64976693"/>
      <w:r w:rsidRPr="003A2857">
        <w:rPr>
          <w:rFonts w:hint="eastAsia"/>
          <w:bCs/>
          <w:color w:val="000000" w:themeColor="text1"/>
          <w:sz w:val="21"/>
          <w:szCs w:val="21"/>
        </w:rPr>
        <w:t>依据法律法规和基金合同的规定</w:t>
      </w:r>
      <w:bookmarkEnd w:id="48"/>
      <w:r w:rsidRPr="003A2857">
        <w:rPr>
          <w:rFonts w:hAnsi="宋体" w:hint="eastAsia"/>
          <w:color w:val="000000" w:themeColor="text1"/>
          <w:sz w:val="21"/>
          <w:szCs w:val="21"/>
        </w:rPr>
        <w:t>继续履行相关职责，并保证不对基金份额持有人的利益造成损害。</w:t>
      </w:r>
      <w:r w:rsidRPr="003A2857">
        <w:rPr>
          <w:rFonts w:hint="eastAsia"/>
          <w:bCs/>
          <w:color w:val="000000" w:themeColor="text1"/>
          <w:sz w:val="21"/>
          <w:szCs w:val="21"/>
        </w:rPr>
        <w:t>原基金管理人或原基金托管人在继续履行相关职责期间，仍有权按照</w:t>
      </w:r>
      <w:r w:rsidRPr="003A2857">
        <w:rPr>
          <w:bCs/>
          <w:color w:val="000000" w:themeColor="text1"/>
          <w:sz w:val="21"/>
          <w:szCs w:val="21"/>
        </w:rPr>
        <w:t>基金</w:t>
      </w:r>
      <w:r w:rsidRPr="003A2857">
        <w:rPr>
          <w:rFonts w:hint="eastAsia"/>
          <w:bCs/>
          <w:color w:val="000000" w:themeColor="text1"/>
          <w:sz w:val="21"/>
          <w:szCs w:val="21"/>
        </w:rPr>
        <w:t>合同的规定收取基金管理费或基金托管费。</w:t>
      </w:r>
    </w:p>
    <w:p w14:paraId="1B89C57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int="eastAsia"/>
          <w:bCs/>
          <w:color w:val="000000" w:themeColor="text1"/>
          <w:sz w:val="21"/>
          <w:szCs w:val="21"/>
        </w:rPr>
        <w:t>14.5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0F69780B" w14:textId="77777777" w:rsidR="00950499" w:rsidRPr="003A2857" w:rsidRDefault="005541ED" w:rsidP="00FB2E71">
      <w:pPr>
        <w:pStyle w:val="1"/>
        <w:spacing w:line="520" w:lineRule="atLeast"/>
        <w:ind w:firstLineChars="200" w:firstLine="422"/>
        <w:rPr>
          <w:bCs/>
          <w:color w:val="000000" w:themeColor="text1"/>
          <w:sz w:val="21"/>
          <w:szCs w:val="21"/>
        </w:rPr>
      </w:pPr>
      <w:bookmarkStart w:id="49" w:name="_Toc296551351"/>
      <w:bookmarkStart w:id="50" w:name="_Toc200545746"/>
      <w:r w:rsidRPr="003A2857">
        <w:rPr>
          <w:rFonts w:hint="eastAsia"/>
          <w:bCs/>
          <w:color w:val="000000" w:themeColor="text1"/>
          <w:sz w:val="21"/>
          <w:szCs w:val="21"/>
        </w:rPr>
        <w:lastRenderedPageBreak/>
        <w:t>第十五条 禁止行为</w:t>
      </w:r>
      <w:bookmarkEnd w:id="49"/>
      <w:bookmarkEnd w:id="50"/>
    </w:p>
    <w:p w14:paraId="5C2F039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15.1基金管理人、基金托管人禁止从事的行为，包括但不限于：</w:t>
      </w:r>
    </w:p>
    <w:p w14:paraId="12AA215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15.1.1基金管理人、基金托管人将其固有财产或者他人财产混同于基金财产从事证券投资。</w:t>
      </w:r>
    </w:p>
    <w:p w14:paraId="23CD936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15.1.2基金管理人不公平地对待其管理的不同基金财产，基金托管人不公平地对待其托管的不同基金财产。</w:t>
      </w:r>
    </w:p>
    <w:p w14:paraId="209D4C09" w14:textId="7307CDD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15.1.3基金管理人、基金托管人利用基金财产</w:t>
      </w:r>
      <w:r w:rsidR="002847EA" w:rsidRPr="002847EA">
        <w:rPr>
          <w:rFonts w:hAnsi="宋体" w:hint="eastAsia"/>
          <w:color w:val="000000" w:themeColor="text1"/>
          <w:sz w:val="21"/>
          <w:szCs w:val="21"/>
        </w:rPr>
        <w:t>或职务之便</w:t>
      </w:r>
      <w:r w:rsidRPr="003A2857">
        <w:rPr>
          <w:rFonts w:hAnsi="宋体" w:hint="eastAsia"/>
          <w:color w:val="000000" w:themeColor="text1"/>
          <w:sz w:val="21"/>
          <w:szCs w:val="21"/>
        </w:rPr>
        <w:t>为基金份额持有人以外的第三人牟取利益。</w:t>
      </w:r>
    </w:p>
    <w:p w14:paraId="4D7AB8C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15.1.4基金管理人、基金托管人向基金份额持有人违规承诺收益或者承担损失。</w:t>
      </w:r>
    </w:p>
    <w:p w14:paraId="780F9D61" w14:textId="5D98F2E5"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15.1.5基金管理人、基金托管人对他人泄</w:t>
      </w:r>
      <w:r w:rsidR="002847EA">
        <w:rPr>
          <w:rFonts w:hAnsi="宋体"/>
          <w:color w:val="000000" w:themeColor="text1"/>
          <w:sz w:val="21"/>
          <w:szCs w:val="21"/>
        </w:rPr>
        <w:t>露</w:t>
      </w:r>
      <w:r w:rsidRPr="003A2857">
        <w:rPr>
          <w:rFonts w:hAnsi="宋体" w:hint="eastAsia"/>
          <w:color w:val="000000" w:themeColor="text1"/>
          <w:sz w:val="21"/>
          <w:szCs w:val="21"/>
        </w:rPr>
        <w:t>基金运作和管理过程中任何尚未按法律法规规定的方式公开披露的信息。</w:t>
      </w:r>
    </w:p>
    <w:p w14:paraId="0A159272"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15.1.6基金管理人在没有充足资金的情况下向基金托管人发出投资指令和赎回、分红资金的划拨指令，或违规向基金托管人发出指令。</w:t>
      </w:r>
    </w:p>
    <w:p w14:paraId="789FCACB" w14:textId="74FA3536"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15.1.7基金管理人、基金托管人在行政上、财务上不独立，其</w:t>
      </w:r>
      <w:r w:rsidR="002847EA" w:rsidRPr="002847EA">
        <w:rPr>
          <w:rFonts w:hAnsi="宋体" w:hint="eastAsia"/>
          <w:color w:val="000000" w:themeColor="text1"/>
          <w:sz w:val="21"/>
          <w:szCs w:val="21"/>
        </w:rPr>
        <w:t>董事、监事、</w:t>
      </w:r>
      <w:r w:rsidRPr="003A2857">
        <w:rPr>
          <w:rFonts w:hAnsi="宋体" w:hint="eastAsia"/>
          <w:color w:val="000000" w:themeColor="text1"/>
          <w:sz w:val="21"/>
          <w:szCs w:val="21"/>
        </w:rPr>
        <w:t>高级管理人员和其他从业人员相互兼职。</w:t>
      </w:r>
    </w:p>
    <w:p w14:paraId="2533D47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15.1.8基金托管人私自动用或处分基金财产，根据基金管理人的合法指令、基金合同或本协议的规定进行处分的除外。</w:t>
      </w:r>
    </w:p>
    <w:p w14:paraId="506AC9D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15.1.9基金财产用于下列投资或者活动：</w:t>
      </w:r>
    </w:p>
    <w:p w14:paraId="2BCE63E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（1）承销证券；</w:t>
      </w:r>
    </w:p>
    <w:p w14:paraId="27DB2EC5"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w:t>
      </w:r>
      <w:r w:rsidRPr="003A2857">
        <w:rPr>
          <w:rFonts w:hint="eastAsia"/>
          <w:bCs/>
          <w:color w:val="000000" w:themeColor="text1"/>
          <w:sz w:val="21"/>
          <w:szCs w:val="21"/>
        </w:rPr>
        <w:t>违反规定</w:t>
      </w:r>
      <w:r w:rsidRPr="003A2857">
        <w:rPr>
          <w:rFonts w:hAnsi="宋体" w:hint="eastAsia"/>
          <w:color w:val="000000" w:themeColor="text1"/>
          <w:sz w:val="21"/>
          <w:szCs w:val="21"/>
        </w:rPr>
        <w:t>向他人贷款或者提供担保；</w:t>
      </w:r>
    </w:p>
    <w:p w14:paraId="1E9E089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（3）从事承担无限责任的投资；</w:t>
      </w:r>
    </w:p>
    <w:p w14:paraId="2FBC7E92" w14:textId="4FAB10AF"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w:t>
      </w:r>
      <w:r w:rsidR="00DD3C27" w:rsidRPr="003A2857">
        <w:rPr>
          <w:rFonts w:hAnsi="宋体"/>
          <w:color w:val="000000" w:themeColor="text1"/>
          <w:sz w:val="21"/>
          <w:szCs w:val="21"/>
        </w:rPr>
        <w:t>4</w:t>
      </w:r>
      <w:r w:rsidRPr="003A2857">
        <w:rPr>
          <w:rFonts w:hAnsi="宋体" w:hint="eastAsia"/>
          <w:color w:val="000000" w:themeColor="text1"/>
          <w:sz w:val="21"/>
          <w:szCs w:val="21"/>
        </w:rPr>
        <w:t>）向其基金管理人、基金托管人出资或者</w:t>
      </w:r>
      <w:r w:rsidR="002847EA" w:rsidRPr="002847EA">
        <w:rPr>
          <w:rFonts w:hAnsi="宋体" w:hint="eastAsia"/>
          <w:color w:val="000000" w:themeColor="text1"/>
          <w:sz w:val="21"/>
          <w:szCs w:val="21"/>
        </w:rPr>
        <w:t>买卖其他基金份额，但是法律法规或中国证监会另有规定的除外</w:t>
      </w:r>
      <w:r w:rsidRPr="003A2857">
        <w:rPr>
          <w:rFonts w:hAnsi="宋体" w:hint="eastAsia"/>
          <w:color w:val="000000" w:themeColor="text1"/>
          <w:sz w:val="21"/>
          <w:szCs w:val="21"/>
        </w:rPr>
        <w:t>；</w:t>
      </w:r>
    </w:p>
    <w:p w14:paraId="6D50683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w:t>
      </w:r>
      <w:r w:rsidR="00DD3C27" w:rsidRPr="003A2857">
        <w:rPr>
          <w:rFonts w:hAnsi="宋体"/>
          <w:color w:val="000000" w:themeColor="text1"/>
          <w:sz w:val="21"/>
          <w:szCs w:val="21"/>
        </w:rPr>
        <w:t>5</w:t>
      </w:r>
      <w:r w:rsidRPr="003A2857">
        <w:rPr>
          <w:rFonts w:hAnsi="宋体" w:hint="eastAsia"/>
          <w:color w:val="000000" w:themeColor="text1"/>
          <w:sz w:val="21"/>
          <w:szCs w:val="21"/>
        </w:rPr>
        <w:t>）从事内幕交易、操纵证券交易价格及其他不正当的证券交易活动；</w:t>
      </w:r>
    </w:p>
    <w:p w14:paraId="40BB53F5"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int="eastAsia"/>
          <w:bCs/>
          <w:color w:val="000000" w:themeColor="text1"/>
          <w:sz w:val="21"/>
          <w:szCs w:val="21"/>
        </w:rPr>
        <w:t>（</w:t>
      </w:r>
      <w:r w:rsidR="00CA0ECC" w:rsidRPr="003A2857">
        <w:rPr>
          <w:bCs/>
          <w:color w:val="000000" w:themeColor="text1"/>
          <w:sz w:val="21"/>
          <w:szCs w:val="21"/>
        </w:rPr>
        <w:t>6</w:t>
      </w:r>
      <w:r w:rsidRPr="003A2857">
        <w:rPr>
          <w:rFonts w:hint="eastAsia"/>
          <w:bCs/>
          <w:color w:val="000000" w:themeColor="text1"/>
          <w:sz w:val="21"/>
          <w:szCs w:val="21"/>
        </w:rPr>
        <w:t>）</w:t>
      </w:r>
      <w:r w:rsidRPr="003A2857">
        <w:rPr>
          <w:bCs/>
          <w:color w:val="000000" w:themeColor="text1"/>
          <w:sz w:val="21"/>
          <w:szCs w:val="21"/>
        </w:rPr>
        <w:t>法律</w:t>
      </w:r>
      <w:r w:rsidRPr="003A2857">
        <w:rPr>
          <w:rFonts w:hint="eastAsia"/>
          <w:bCs/>
          <w:color w:val="000000" w:themeColor="text1"/>
          <w:sz w:val="21"/>
          <w:szCs w:val="21"/>
        </w:rPr>
        <w:t>、</w:t>
      </w:r>
      <w:r w:rsidRPr="003A2857">
        <w:rPr>
          <w:bCs/>
          <w:color w:val="000000" w:themeColor="text1"/>
          <w:sz w:val="21"/>
          <w:szCs w:val="21"/>
        </w:rPr>
        <w:t>行政法规</w:t>
      </w:r>
      <w:r w:rsidRPr="003A2857">
        <w:rPr>
          <w:rFonts w:hint="eastAsia"/>
          <w:bCs/>
          <w:color w:val="000000" w:themeColor="text1"/>
          <w:sz w:val="21"/>
          <w:szCs w:val="21"/>
        </w:rPr>
        <w:t>和中国证监会规定禁止的其他活动</w:t>
      </w:r>
      <w:r w:rsidRPr="003A2857">
        <w:rPr>
          <w:rFonts w:hAnsi="宋体" w:hint="eastAsia"/>
          <w:color w:val="000000" w:themeColor="text1"/>
          <w:sz w:val="21"/>
          <w:szCs w:val="21"/>
        </w:rPr>
        <w:t>。</w:t>
      </w:r>
    </w:p>
    <w:p w14:paraId="6D90C49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15.1.10法律法规或监管部门取消</w:t>
      </w:r>
      <w:r w:rsidRPr="003A2857">
        <w:rPr>
          <w:rFonts w:hint="eastAsia"/>
          <w:bCs/>
          <w:color w:val="000000" w:themeColor="text1"/>
          <w:sz w:val="21"/>
          <w:szCs w:val="21"/>
        </w:rPr>
        <w:t>或变更上述禁止性规定</w:t>
      </w:r>
      <w:r w:rsidR="00D9370A" w:rsidRPr="003A2857">
        <w:rPr>
          <w:rFonts w:hint="eastAsia"/>
          <w:bCs/>
          <w:color w:val="000000" w:themeColor="text1"/>
          <w:sz w:val="21"/>
          <w:szCs w:val="21"/>
        </w:rPr>
        <w:t>的</w:t>
      </w:r>
      <w:r w:rsidRPr="003A2857">
        <w:rPr>
          <w:bCs/>
          <w:color w:val="000000" w:themeColor="text1"/>
          <w:sz w:val="21"/>
          <w:szCs w:val="21"/>
        </w:rPr>
        <w:t>，</w:t>
      </w:r>
      <w:r w:rsidRPr="003A2857">
        <w:rPr>
          <w:rFonts w:hint="eastAsia"/>
          <w:bCs/>
          <w:color w:val="000000" w:themeColor="text1"/>
          <w:sz w:val="21"/>
          <w:szCs w:val="21"/>
        </w:rPr>
        <w:t>如适用于本基金</w:t>
      </w:r>
      <w:r w:rsidRPr="003A2857">
        <w:rPr>
          <w:rFonts w:hAnsi="宋体" w:hint="eastAsia"/>
          <w:color w:val="000000" w:themeColor="text1"/>
          <w:sz w:val="21"/>
          <w:szCs w:val="21"/>
        </w:rPr>
        <w:t>，</w:t>
      </w:r>
      <w:r w:rsidR="00BC5414" w:rsidRPr="003A2857">
        <w:rPr>
          <w:rFonts w:hAnsi="宋体" w:hint="eastAsia"/>
          <w:bCs/>
          <w:color w:val="000000" w:themeColor="text1"/>
          <w:sz w:val="21"/>
          <w:szCs w:val="21"/>
        </w:rPr>
        <w:t>基金管</w:t>
      </w:r>
      <w:r w:rsidR="00BC5414" w:rsidRPr="003A2857">
        <w:rPr>
          <w:rFonts w:hAnsi="宋体" w:hint="eastAsia"/>
          <w:bCs/>
          <w:color w:val="000000" w:themeColor="text1"/>
          <w:sz w:val="21"/>
          <w:szCs w:val="21"/>
        </w:rPr>
        <w:lastRenderedPageBreak/>
        <w:t>理人在履行适当程序后，</w:t>
      </w:r>
      <w:r w:rsidR="00D9370A" w:rsidRPr="003A2857">
        <w:rPr>
          <w:rFonts w:hAnsi="宋体"/>
          <w:bCs/>
          <w:color w:val="000000" w:themeColor="text1"/>
          <w:sz w:val="21"/>
          <w:szCs w:val="21"/>
        </w:rPr>
        <w:t>则本</w:t>
      </w:r>
      <w:r w:rsidR="00D9370A" w:rsidRPr="003A2857">
        <w:rPr>
          <w:rFonts w:hAnsi="宋体"/>
          <w:color w:val="000000" w:themeColor="text1"/>
          <w:sz w:val="21"/>
          <w:szCs w:val="21"/>
        </w:rPr>
        <w:t>基金</w:t>
      </w:r>
      <w:r w:rsidR="00D9370A" w:rsidRPr="003A2857">
        <w:rPr>
          <w:rFonts w:hAnsi="宋体"/>
          <w:bCs/>
          <w:color w:val="000000" w:themeColor="text1"/>
          <w:sz w:val="21"/>
          <w:szCs w:val="21"/>
        </w:rPr>
        <w:t>投资不再受上述相关限制</w:t>
      </w:r>
      <w:r w:rsidR="00D9370A" w:rsidRPr="003A2857">
        <w:rPr>
          <w:rFonts w:hAnsi="宋体" w:hint="eastAsia"/>
          <w:bCs/>
          <w:color w:val="000000" w:themeColor="text1"/>
          <w:sz w:val="21"/>
          <w:szCs w:val="21"/>
        </w:rPr>
        <w:t>或以变更后的规定为准</w:t>
      </w:r>
      <w:r w:rsidR="00D9370A" w:rsidRPr="003A2857">
        <w:rPr>
          <w:rFonts w:hAnsi="宋体"/>
          <w:color w:val="000000" w:themeColor="text1"/>
          <w:sz w:val="21"/>
          <w:szCs w:val="21"/>
        </w:rPr>
        <w:t>，</w:t>
      </w:r>
      <w:r w:rsidR="00D9370A" w:rsidRPr="003A2857">
        <w:rPr>
          <w:rFonts w:hAnsi="宋体"/>
          <w:bCs/>
          <w:color w:val="000000" w:themeColor="text1"/>
          <w:sz w:val="21"/>
          <w:szCs w:val="21"/>
        </w:rPr>
        <w:t>自动遵守届时有效的法律法规或监管规定</w:t>
      </w:r>
      <w:r w:rsidR="00D9370A" w:rsidRPr="003A2857">
        <w:rPr>
          <w:rFonts w:hAnsi="宋体"/>
          <w:color w:val="000000" w:themeColor="text1"/>
          <w:sz w:val="21"/>
          <w:szCs w:val="21"/>
        </w:rPr>
        <w:t>。</w:t>
      </w:r>
    </w:p>
    <w:p w14:paraId="65D25527" w14:textId="77777777" w:rsidR="00950499" w:rsidRPr="003A2857" w:rsidRDefault="005541ED" w:rsidP="00FB2E71">
      <w:pPr>
        <w:pStyle w:val="1"/>
        <w:spacing w:line="520" w:lineRule="atLeast"/>
        <w:ind w:firstLineChars="200" w:firstLine="422"/>
        <w:rPr>
          <w:bCs/>
          <w:color w:val="000000" w:themeColor="text1"/>
          <w:sz w:val="21"/>
          <w:szCs w:val="21"/>
        </w:rPr>
      </w:pPr>
      <w:bookmarkStart w:id="51" w:name="_Toc296551352"/>
      <w:bookmarkStart w:id="52" w:name="_Toc200545747"/>
      <w:r w:rsidRPr="003A2857">
        <w:rPr>
          <w:rFonts w:hint="eastAsia"/>
          <w:bCs/>
          <w:color w:val="000000" w:themeColor="text1"/>
          <w:sz w:val="21"/>
          <w:szCs w:val="21"/>
        </w:rPr>
        <w:t>第十六条 本协议的变更、终止与基金财产的清算</w:t>
      </w:r>
      <w:bookmarkEnd w:id="51"/>
      <w:bookmarkEnd w:id="52"/>
    </w:p>
    <w:p w14:paraId="5119AEE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16.1本协议的变更与终止</w:t>
      </w:r>
    </w:p>
    <w:p w14:paraId="6156D54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16.1.1本协议的变更程序</w:t>
      </w:r>
    </w:p>
    <w:p w14:paraId="5B4152C5" w14:textId="22FE78D9"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bookmarkStart w:id="53" w:name="_Hlk194333582"/>
      <w:r w:rsidRPr="003A2857">
        <w:rPr>
          <w:rFonts w:hAnsi="宋体" w:hint="eastAsia"/>
          <w:color w:val="000000" w:themeColor="text1"/>
          <w:sz w:val="21"/>
          <w:szCs w:val="21"/>
        </w:rPr>
        <w:t>本协议双方当事人经协商一致，可以对协议的内容进行变更</w:t>
      </w:r>
      <w:r w:rsidRPr="003A2857">
        <w:rPr>
          <w:rFonts w:asciiTheme="minorEastAsia" w:eastAsiaTheme="minorEastAsia" w:hAnsiTheme="minorEastAsia" w:hint="eastAsia"/>
          <w:color w:val="000000" w:themeColor="text1"/>
          <w:sz w:val="21"/>
          <w:szCs w:val="21"/>
        </w:rPr>
        <w:t>，并另行签署书面协议予以明确</w:t>
      </w:r>
      <w:r w:rsidRPr="003A2857">
        <w:rPr>
          <w:rFonts w:hAnsi="宋体" w:hint="eastAsia"/>
          <w:color w:val="000000" w:themeColor="text1"/>
          <w:sz w:val="21"/>
          <w:szCs w:val="21"/>
        </w:rPr>
        <w:t>。变更后的托管协议，其内容不得与基金合同的规定有任何冲突。本协议的变更报中国证监会注册或备案</w:t>
      </w:r>
      <w:r w:rsidR="004346A5">
        <w:rPr>
          <w:rFonts w:hAnsi="宋体" w:hint="eastAsia"/>
          <w:color w:val="000000" w:themeColor="text1"/>
          <w:sz w:val="21"/>
          <w:szCs w:val="21"/>
        </w:rPr>
        <w:t>（如需）</w:t>
      </w:r>
      <w:r w:rsidRPr="003A2857">
        <w:rPr>
          <w:rFonts w:hAnsi="宋体" w:hint="eastAsia"/>
          <w:color w:val="000000" w:themeColor="text1"/>
          <w:sz w:val="21"/>
          <w:szCs w:val="21"/>
        </w:rPr>
        <w:t>。</w:t>
      </w:r>
      <w:bookmarkEnd w:id="53"/>
    </w:p>
    <w:p w14:paraId="7411361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16.1.2本协议终止的情形</w:t>
      </w:r>
    </w:p>
    <w:p w14:paraId="5354169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bookmarkStart w:id="54" w:name="_Hlk194333594"/>
      <w:r w:rsidRPr="003A2857">
        <w:rPr>
          <w:rFonts w:hAnsi="宋体" w:hint="eastAsia"/>
          <w:color w:val="000000" w:themeColor="text1"/>
          <w:sz w:val="21"/>
          <w:szCs w:val="21"/>
        </w:rPr>
        <w:t>发生以下情况，本协议终止：</w:t>
      </w:r>
    </w:p>
    <w:p w14:paraId="5BF3BF20"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（1）基金合同终止；</w:t>
      </w:r>
    </w:p>
    <w:p w14:paraId="30F81CC5"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（2）基金托管人解散、依法被撤销、破产或由其他基金托管人接管基金资产；</w:t>
      </w:r>
    </w:p>
    <w:p w14:paraId="39748BDB"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（3）基金管理人解散、依法被撤销、破产或由其他基金管理人接管基金管理权；</w:t>
      </w:r>
    </w:p>
    <w:p w14:paraId="25E2C28D" w14:textId="5F2A3B4E"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w:t>
      </w:r>
      <w:r w:rsidRPr="003A2857">
        <w:rPr>
          <w:rFonts w:hAnsi="宋体"/>
          <w:color w:val="000000" w:themeColor="text1"/>
          <w:sz w:val="21"/>
          <w:szCs w:val="21"/>
        </w:rPr>
        <w:t>4）</w:t>
      </w:r>
      <w:r w:rsidRPr="003A2857">
        <w:rPr>
          <w:rFonts w:hAnsi="宋体" w:hint="eastAsia"/>
          <w:color w:val="000000" w:themeColor="text1"/>
          <w:sz w:val="21"/>
          <w:szCs w:val="21"/>
        </w:rPr>
        <w:t>发生法律法规或基金合同规定的终止事项。</w:t>
      </w:r>
      <w:bookmarkEnd w:id="54"/>
    </w:p>
    <w:p w14:paraId="074E737E"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16.2基金财产的清算</w:t>
      </w:r>
    </w:p>
    <w:p w14:paraId="67B15B3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16.2.1基金财产清算小组</w:t>
      </w:r>
    </w:p>
    <w:p w14:paraId="1A0496B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（1）自出现基金合同终止事由之日起30个工作日内成立清算小组，基金管理人组织基金财产清算小组并在中国证监会的监督下进行基金清算。</w:t>
      </w:r>
    </w:p>
    <w:p w14:paraId="3D1770A8" w14:textId="0EB2FA80"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（2）基金财产清算小组成员由基金管理人、基金托管人、</w:t>
      </w:r>
      <w:r w:rsidR="002847EA" w:rsidRPr="002847EA">
        <w:rPr>
          <w:rFonts w:hAnsi="宋体" w:hint="eastAsia"/>
          <w:bCs/>
          <w:color w:val="000000" w:themeColor="text1"/>
          <w:sz w:val="21"/>
          <w:szCs w:val="21"/>
        </w:rPr>
        <w:t>具有从事证券相关业务资格的</w:t>
      </w:r>
      <w:r w:rsidRPr="003A2857">
        <w:rPr>
          <w:rFonts w:hAnsi="宋体" w:hint="eastAsia"/>
          <w:color w:val="000000" w:themeColor="text1"/>
          <w:sz w:val="21"/>
          <w:szCs w:val="21"/>
        </w:rPr>
        <w:t>注册会计师、律师以及中国证监会指定的人员组成。基金财产清算小组可以聘用必要的工作人员。</w:t>
      </w:r>
    </w:p>
    <w:p w14:paraId="4749A603"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（3）在基金财产清算过程中，基金管理人和基金托管人应各自履行职责，继续忠实、勤勉、尽责地履行基金合同和本协议规定的义务，维护基金份额持有人的合法权益。</w:t>
      </w:r>
    </w:p>
    <w:p w14:paraId="6F7297C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（4）基金财产清算小组负责基金财产的保管、清理、估价、变现和分配。基金财产清算小组可以依法进行必要的民事活动。</w:t>
      </w:r>
    </w:p>
    <w:p w14:paraId="1A35B39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16.2.2基金财产清算程序</w:t>
      </w:r>
    </w:p>
    <w:p w14:paraId="1936885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lastRenderedPageBreak/>
        <w:t>基金合同终止，应当按法律法规和基金合同的有关规定对基金财产进行清算。基金财产清算程序主要包括：</w:t>
      </w:r>
    </w:p>
    <w:p w14:paraId="5C1909BB"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（1）基金合同终止情形出现时，由基金财产清算小组统一接管基金财产；</w:t>
      </w:r>
    </w:p>
    <w:p w14:paraId="4797378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（2）对基金财产和债权债务进行清理和确认；</w:t>
      </w:r>
    </w:p>
    <w:p w14:paraId="0F393146"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（3）对基金财产进行估值和变现；</w:t>
      </w:r>
    </w:p>
    <w:p w14:paraId="2024030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（4）制作清算报告；</w:t>
      </w:r>
    </w:p>
    <w:p w14:paraId="2093F62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（5）聘请会计师事务所对清算报告进行外部审计，聘请律师事务所对清算报告出具法律意见书；</w:t>
      </w:r>
    </w:p>
    <w:p w14:paraId="6757509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（6）将清算报告报中国证监会备案并公告；</w:t>
      </w:r>
    </w:p>
    <w:p w14:paraId="1BBBBEE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（7）对基金剩余财产进行分配。</w:t>
      </w:r>
    </w:p>
    <w:p w14:paraId="0C982633" w14:textId="77777777" w:rsidR="00950499" w:rsidRPr="003A2857" w:rsidRDefault="005541ED" w:rsidP="00FB2E71">
      <w:pPr>
        <w:pStyle w:val="20"/>
        <w:spacing w:before="0" w:after="0" w:line="520" w:lineRule="atLeast"/>
        <w:ind w:left="0" w:firstLineChars="200" w:firstLine="420"/>
        <w:rPr>
          <w:bCs/>
          <w:color w:val="000000" w:themeColor="text1"/>
          <w:sz w:val="21"/>
          <w:szCs w:val="21"/>
        </w:rPr>
      </w:pPr>
      <w:r w:rsidRPr="003A2857">
        <w:rPr>
          <w:bCs/>
          <w:color w:val="000000" w:themeColor="text1"/>
          <w:sz w:val="21"/>
          <w:szCs w:val="21"/>
        </w:rPr>
        <w:t>基金财产清算的期限为</w:t>
      </w:r>
      <w:r w:rsidRPr="003A2857">
        <w:rPr>
          <w:rFonts w:hint="eastAsia"/>
          <w:bCs/>
          <w:color w:val="000000" w:themeColor="text1"/>
          <w:sz w:val="21"/>
          <w:szCs w:val="21"/>
        </w:rPr>
        <w:t>6</w:t>
      </w:r>
      <w:r w:rsidRPr="003A2857">
        <w:rPr>
          <w:bCs/>
          <w:color w:val="000000" w:themeColor="text1"/>
          <w:sz w:val="21"/>
          <w:szCs w:val="21"/>
        </w:rPr>
        <w:t>个月</w:t>
      </w:r>
      <w:r w:rsidRPr="003A2857">
        <w:rPr>
          <w:rFonts w:hint="eastAsia"/>
          <w:bCs/>
          <w:color w:val="000000" w:themeColor="text1"/>
          <w:sz w:val="21"/>
          <w:szCs w:val="21"/>
        </w:rPr>
        <w:t>，但因本基金所持证券的流动性受到限制而不能及时变现的，清算期限相应顺延。</w:t>
      </w:r>
    </w:p>
    <w:p w14:paraId="43FE2A6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16.2.3清算费用</w:t>
      </w:r>
    </w:p>
    <w:p w14:paraId="08AE5E6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清算费用是指基金财产清算小组在进行基金财产清算过程中发生的所有合理费用，清算费用由基金财产清算小组优先从基金剩余财产中支付。</w:t>
      </w:r>
    </w:p>
    <w:p w14:paraId="13B37921" w14:textId="6E61D711"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16.2.</w:t>
      </w:r>
      <w:r w:rsidR="003A3C14">
        <w:rPr>
          <w:rFonts w:hAnsi="宋体"/>
          <w:color w:val="000000" w:themeColor="text1"/>
          <w:sz w:val="21"/>
          <w:szCs w:val="21"/>
        </w:rPr>
        <w:t>4</w:t>
      </w:r>
      <w:r w:rsidRPr="003A2857">
        <w:rPr>
          <w:rFonts w:hAnsi="宋体" w:hint="eastAsia"/>
          <w:color w:val="000000" w:themeColor="text1"/>
          <w:sz w:val="21"/>
          <w:szCs w:val="21"/>
        </w:rPr>
        <w:t>基金财产清算的公告</w:t>
      </w:r>
    </w:p>
    <w:p w14:paraId="673A9B36" w14:textId="77777777" w:rsidR="00950499" w:rsidRPr="003A2857" w:rsidRDefault="005541ED" w:rsidP="00FB2E71">
      <w:pPr>
        <w:spacing w:line="520" w:lineRule="atLeast"/>
        <w:ind w:firstLineChars="200" w:firstLine="420"/>
        <w:rPr>
          <w:bCs/>
          <w:color w:val="000000" w:themeColor="text1"/>
          <w:szCs w:val="21"/>
        </w:rPr>
      </w:pPr>
      <w:r w:rsidRPr="003A2857">
        <w:rPr>
          <w:rFonts w:hint="eastAsia"/>
          <w:bCs/>
          <w:color w:val="000000" w:themeColor="text1"/>
          <w:szCs w:val="21"/>
        </w:rPr>
        <w:t>清算过程中的有关重大事项须及时公告；基金财产清算报告经</w:t>
      </w:r>
      <w:r w:rsidR="0031060D" w:rsidRPr="003A2857">
        <w:rPr>
          <w:rFonts w:hint="eastAsia"/>
          <w:bCs/>
          <w:color w:val="000000" w:themeColor="text1"/>
          <w:szCs w:val="21"/>
        </w:rPr>
        <w:t>符合《证券法》规定</w:t>
      </w:r>
      <w:r w:rsidRPr="003A2857">
        <w:rPr>
          <w:rFonts w:hint="eastAsia"/>
          <w:bCs/>
          <w:color w:val="000000" w:themeColor="text1"/>
          <w:szCs w:val="21"/>
        </w:rPr>
        <w:t>的会计师事务所审计</w:t>
      </w:r>
      <w:r w:rsidR="0031060D" w:rsidRPr="003A2857">
        <w:rPr>
          <w:bCs/>
          <w:color w:val="000000" w:themeColor="text1"/>
          <w:szCs w:val="21"/>
        </w:rPr>
        <w:t>并由</w:t>
      </w:r>
      <w:r w:rsidRPr="003A2857">
        <w:rPr>
          <w:rFonts w:hint="eastAsia"/>
          <w:bCs/>
          <w:color w:val="000000" w:themeColor="text1"/>
          <w:szCs w:val="21"/>
        </w:rPr>
        <w:t>律师事务所出具法律意见书后报中国证监会备案并公告</w:t>
      </w:r>
      <w:r w:rsidR="0031060D" w:rsidRPr="003A2857">
        <w:rPr>
          <w:rFonts w:hint="eastAsia"/>
          <w:bCs/>
          <w:color w:val="000000" w:themeColor="text1"/>
          <w:szCs w:val="21"/>
        </w:rPr>
        <w:t>。基金财产清算公告于基金财产清算报告报中国证监会备案后由基金财产清算小组进行公告</w:t>
      </w:r>
      <w:r w:rsidRPr="003A2857">
        <w:rPr>
          <w:rFonts w:hint="eastAsia"/>
          <w:bCs/>
          <w:color w:val="000000" w:themeColor="text1"/>
          <w:szCs w:val="21"/>
        </w:rPr>
        <w:t>。</w:t>
      </w:r>
    </w:p>
    <w:p w14:paraId="4E61579C" w14:textId="092AFEA2"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16.2.</w:t>
      </w:r>
      <w:r w:rsidR="003A3C14">
        <w:rPr>
          <w:rFonts w:hAnsi="宋体"/>
          <w:color w:val="000000" w:themeColor="text1"/>
          <w:sz w:val="21"/>
          <w:szCs w:val="21"/>
        </w:rPr>
        <w:t>5</w:t>
      </w:r>
      <w:r w:rsidRPr="003A2857">
        <w:rPr>
          <w:rFonts w:hAnsi="宋体" w:hint="eastAsia"/>
          <w:color w:val="000000" w:themeColor="text1"/>
          <w:sz w:val="21"/>
          <w:szCs w:val="21"/>
        </w:rPr>
        <w:t>基金财产清算账册及文件的保存</w:t>
      </w:r>
    </w:p>
    <w:p w14:paraId="076AD238" w14:textId="2C1E6A43"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基金财产清算账册及有关文件由基金托管人保存</w:t>
      </w:r>
      <w:r w:rsidR="003A3C14">
        <w:rPr>
          <w:rFonts w:hAnsi="宋体" w:hint="eastAsia"/>
          <w:color w:val="000000" w:themeColor="text1"/>
          <w:sz w:val="21"/>
          <w:szCs w:val="21"/>
        </w:rPr>
        <w:t>，</w:t>
      </w:r>
      <w:r w:rsidR="003A3C14" w:rsidRPr="003A3C14">
        <w:rPr>
          <w:rFonts w:hAnsi="宋体" w:hint="eastAsia"/>
          <w:color w:val="000000" w:themeColor="text1"/>
          <w:sz w:val="21"/>
          <w:szCs w:val="21"/>
        </w:rPr>
        <w:t>时间不低于法律法规要求的最低期限</w:t>
      </w:r>
      <w:r w:rsidRPr="003A2857">
        <w:rPr>
          <w:rFonts w:hAnsi="宋体" w:hint="eastAsia"/>
          <w:color w:val="000000" w:themeColor="text1"/>
          <w:sz w:val="21"/>
          <w:szCs w:val="21"/>
        </w:rPr>
        <w:t>。</w:t>
      </w:r>
      <w:bookmarkStart w:id="55" w:name="_Toc296551353"/>
    </w:p>
    <w:p w14:paraId="280F59F4" w14:textId="77777777" w:rsidR="00950499" w:rsidRPr="003A2857" w:rsidRDefault="005541ED" w:rsidP="00FB2E71">
      <w:pPr>
        <w:pStyle w:val="1"/>
        <w:spacing w:line="520" w:lineRule="atLeast"/>
        <w:ind w:firstLineChars="200" w:firstLine="422"/>
        <w:rPr>
          <w:bCs/>
          <w:color w:val="000000" w:themeColor="text1"/>
          <w:sz w:val="21"/>
          <w:szCs w:val="21"/>
        </w:rPr>
      </w:pPr>
      <w:bookmarkStart w:id="56" w:name="_Toc200545748"/>
      <w:r w:rsidRPr="003A2857">
        <w:rPr>
          <w:rFonts w:hint="eastAsia"/>
          <w:bCs/>
          <w:color w:val="000000" w:themeColor="text1"/>
          <w:sz w:val="21"/>
          <w:szCs w:val="21"/>
        </w:rPr>
        <w:t>第十七条 违约责任</w:t>
      </w:r>
      <w:bookmarkEnd w:id="55"/>
      <w:bookmarkEnd w:id="56"/>
    </w:p>
    <w:p w14:paraId="6FFAB48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17.1如果基金管理人或基金托管人不履行本协议或者履行本协议不符合约定的，应当承担违约责任。</w:t>
      </w:r>
    </w:p>
    <w:p w14:paraId="7FECF63C"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17.2</w:t>
      </w:r>
      <w:r w:rsidRPr="003A2857">
        <w:rPr>
          <w:rFonts w:hAnsi="宋体" w:hint="eastAsia"/>
          <w:b/>
          <w:bCs/>
          <w:color w:val="000000" w:themeColor="text1"/>
          <w:sz w:val="21"/>
          <w:szCs w:val="21"/>
        </w:rPr>
        <w:t>因托管协议当事人违约给基金财产或者基金份额持有人造成损害的，应当分别对各自的行为依法承担赔偿责任，因共同行为给基金财产或者基金份额持有人造成损害的，应</w:t>
      </w:r>
      <w:r w:rsidRPr="003A2857">
        <w:rPr>
          <w:rFonts w:hAnsi="宋体" w:hint="eastAsia"/>
          <w:b/>
          <w:bCs/>
          <w:color w:val="000000" w:themeColor="text1"/>
          <w:sz w:val="21"/>
          <w:szCs w:val="21"/>
        </w:rPr>
        <w:lastRenderedPageBreak/>
        <w:t>当承担连带赔偿责任。</w:t>
      </w:r>
      <w:r w:rsidRPr="003A2857">
        <w:rPr>
          <w:rFonts w:hAnsi="宋体" w:hint="eastAsia"/>
          <w:color w:val="000000" w:themeColor="text1"/>
          <w:sz w:val="21"/>
          <w:szCs w:val="21"/>
        </w:rPr>
        <w:t>但是发生下列情况，</w:t>
      </w:r>
      <w:r w:rsidR="00780455" w:rsidRPr="003A2857">
        <w:rPr>
          <w:rFonts w:hAnsi="宋体" w:hint="eastAsia"/>
          <w:color w:val="000000" w:themeColor="text1"/>
          <w:sz w:val="21"/>
          <w:szCs w:val="21"/>
        </w:rPr>
        <w:t>相应的</w:t>
      </w:r>
      <w:r w:rsidRPr="003A2857">
        <w:rPr>
          <w:rFonts w:hAnsi="宋体" w:hint="eastAsia"/>
          <w:color w:val="000000" w:themeColor="text1"/>
          <w:sz w:val="21"/>
          <w:szCs w:val="21"/>
        </w:rPr>
        <w:t>当事人免责：</w:t>
      </w:r>
    </w:p>
    <w:p w14:paraId="40AF4F6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（1）不可抗力；</w:t>
      </w:r>
    </w:p>
    <w:p w14:paraId="2086537A"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（2）基金管理人</w:t>
      </w:r>
      <w:r w:rsidRPr="003A2857">
        <w:rPr>
          <w:rFonts w:hint="eastAsia"/>
          <w:bCs/>
          <w:color w:val="000000" w:themeColor="text1"/>
          <w:sz w:val="21"/>
          <w:szCs w:val="21"/>
        </w:rPr>
        <w:t>和/或</w:t>
      </w:r>
      <w:r w:rsidRPr="003A2857">
        <w:rPr>
          <w:rFonts w:hAnsi="宋体" w:hint="eastAsia"/>
          <w:color w:val="000000" w:themeColor="text1"/>
          <w:sz w:val="21"/>
          <w:szCs w:val="21"/>
        </w:rPr>
        <w:t>基金托管人按照</w:t>
      </w:r>
      <w:r w:rsidR="00A4457D" w:rsidRPr="003A2857">
        <w:rPr>
          <w:rFonts w:hint="eastAsia"/>
          <w:bCs/>
          <w:color w:val="000000" w:themeColor="text1"/>
          <w:sz w:val="21"/>
          <w:szCs w:val="21"/>
        </w:rPr>
        <w:t>当时</w:t>
      </w:r>
      <w:r w:rsidRPr="003A2857">
        <w:rPr>
          <w:rFonts w:hAnsi="宋体" w:hint="eastAsia"/>
          <w:color w:val="000000" w:themeColor="text1"/>
          <w:sz w:val="21"/>
          <w:szCs w:val="21"/>
        </w:rPr>
        <w:t>有效的法律法规或中国证监会的规定作为或不作为而造成的损失等；</w:t>
      </w:r>
    </w:p>
    <w:p w14:paraId="56D38FEE" w14:textId="77777777" w:rsidR="00BD1EA5" w:rsidRDefault="005541ED" w:rsidP="00BD1EA5">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（3）</w:t>
      </w:r>
      <w:r w:rsidR="003A3C14" w:rsidRPr="003A3C14">
        <w:rPr>
          <w:rFonts w:hAnsi="宋体" w:hint="eastAsia"/>
          <w:color w:val="000000" w:themeColor="text1"/>
          <w:sz w:val="21"/>
          <w:szCs w:val="21"/>
        </w:rPr>
        <w:t>基金管理人由于按照基金合同规定的投资原则而行使或不行使其投资权而造成的损失等</w:t>
      </w:r>
      <w:r w:rsidRPr="003A2857">
        <w:rPr>
          <w:rFonts w:hAnsi="宋体" w:hint="eastAsia"/>
          <w:color w:val="000000" w:themeColor="text1"/>
          <w:sz w:val="21"/>
          <w:szCs w:val="21"/>
        </w:rPr>
        <w:t>。</w:t>
      </w:r>
    </w:p>
    <w:p w14:paraId="476E449E" w14:textId="706632D7" w:rsidR="00BD1EA5" w:rsidRPr="00BD1EA5" w:rsidRDefault="00BD1EA5" w:rsidP="00CD757A">
      <w:pPr>
        <w:pStyle w:val="20"/>
        <w:spacing w:before="0" w:after="0" w:line="520" w:lineRule="atLeast"/>
        <w:ind w:left="0" w:firstLineChars="200" w:firstLine="420"/>
        <w:rPr>
          <w:rFonts w:hAnsi="宋体"/>
          <w:color w:val="000000" w:themeColor="text1"/>
          <w:sz w:val="21"/>
          <w:szCs w:val="21"/>
        </w:rPr>
      </w:pPr>
      <w:r>
        <w:rPr>
          <w:rFonts w:hAnsi="宋体" w:hint="eastAsia"/>
          <w:color w:val="000000" w:themeColor="text1"/>
          <w:sz w:val="21"/>
          <w:szCs w:val="21"/>
        </w:rPr>
        <w:t>（</w:t>
      </w:r>
      <w:r w:rsidRPr="00BD1EA5">
        <w:rPr>
          <w:rFonts w:hAnsi="宋体" w:hint="eastAsia"/>
          <w:color w:val="000000" w:themeColor="text1"/>
          <w:sz w:val="21"/>
          <w:szCs w:val="21"/>
        </w:rPr>
        <w:t>4</w:t>
      </w:r>
      <w:r>
        <w:rPr>
          <w:rFonts w:hAnsi="宋体" w:hint="eastAsia"/>
          <w:color w:val="000000" w:themeColor="text1"/>
          <w:sz w:val="21"/>
          <w:szCs w:val="21"/>
        </w:rPr>
        <w:t>）</w:t>
      </w:r>
      <w:r w:rsidRPr="00BD1EA5">
        <w:rPr>
          <w:rFonts w:hAnsi="宋体" w:hint="eastAsia"/>
          <w:color w:val="000000" w:themeColor="text1"/>
          <w:sz w:val="21"/>
          <w:szCs w:val="21"/>
        </w:rPr>
        <w:t>基金托管人对存放或存管在基金托管人以外机构的基金资产，或交由证券公司等其他机构负责清算交收的基金资产及其收益不承担任何责任。</w:t>
      </w:r>
    </w:p>
    <w:p w14:paraId="38FF35D7" w14:textId="55D3A20F" w:rsidR="00BD1EA5" w:rsidRPr="003A2857" w:rsidRDefault="00BD1EA5" w:rsidP="00BD1EA5">
      <w:pPr>
        <w:pStyle w:val="20"/>
        <w:spacing w:before="0" w:after="0" w:line="520" w:lineRule="atLeast"/>
        <w:ind w:left="0" w:firstLineChars="200" w:firstLine="420"/>
        <w:rPr>
          <w:rFonts w:hAnsi="宋体"/>
          <w:color w:val="000000" w:themeColor="text1"/>
          <w:sz w:val="21"/>
          <w:szCs w:val="21"/>
        </w:rPr>
      </w:pPr>
      <w:r>
        <w:rPr>
          <w:rFonts w:hAnsi="宋体" w:hint="eastAsia"/>
          <w:color w:val="000000" w:themeColor="text1"/>
          <w:sz w:val="21"/>
          <w:szCs w:val="21"/>
        </w:rPr>
        <w:t>（5）</w:t>
      </w:r>
      <w:r w:rsidRPr="00BD1EA5">
        <w:rPr>
          <w:rFonts w:hAnsi="宋体" w:hint="eastAsia"/>
          <w:color w:val="000000" w:themeColor="text1"/>
          <w:sz w:val="21"/>
          <w:szCs w:val="21"/>
        </w:rPr>
        <w:t>计算机系统故障、网络故障、通讯故障、电力故障、计算机病毒攻击及其它非基金管理人及基金托管人原因造成的意外事故。</w:t>
      </w:r>
    </w:p>
    <w:p w14:paraId="31ABCF6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17.3如果由于本协议一方当事人（以下简称“违约方”）的违约行为给基金财产或基金份额持有人造成损失，另一方当事人（以下简称“守约方”）有权利并且有义务代表基金对违约方进行追偿；如果由于违约方的违约行为导致守约方赔偿了该基金财产或基金份额持有人所遭受的损失，则守约方有权向违约方追索，违约方应赔偿和补偿守约方由此发生的所有成本、费用和支出，以及由此遭受的损失。</w:t>
      </w:r>
    </w:p>
    <w:p w14:paraId="274164E9"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17.4当事人一方违约，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12C91018"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17.5违约行为虽已发生，但本协议能够继续履行的，在最大限度地保护基金份额持有人利益的前提下，基金管理人和基金托管人应当继续履行本协议。</w:t>
      </w:r>
    </w:p>
    <w:p w14:paraId="467B2D34"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17.6由于基金管理人、基金托管人不可控制的因素导致业务出现差错，基金管理人和基金托管人虽然已经采取必要、适当、合理的措施进行检查，但是未能发现错误的，由此造成基金财产或基金份额持有人损失，基金管理人和基金托管人免除赔偿责任。但是基金管理人和基金托管人应积极采取必要的措施减轻或消除由此造成的影响。</w:t>
      </w:r>
    </w:p>
    <w:p w14:paraId="7E81FE7A" w14:textId="77777777" w:rsidR="00950499" w:rsidRPr="003A2857" w:rsidRDefault="005541ED" w:rsidP="00FB2E71">
      <w:pPr>
        <w:pStyle w:val="20"/>
        <w:snapToGrid w:val="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17.7本协议所指损失均为直接损失。</w:t>
      </w:r>
    </w:p>
    <w:p w14:paraId="5C0C7F50" w14:textId="77777777" w:rsidR="00950499" w:rsidRPr="003A2857" w:rsidRDefault="005541ED" w:rsidP="00FB2E71">
      <w:pPr>
        <w:pStyle w:val="1"/>
        <w:spacing w:line="520" w:lineRule="atLeast"/>
        <w:ind w:firstLineChars="200" w:firstLine="422"/>
        <w:rPr>
          <w:bCs/>
          <w:color w:val="000000" w:themeColor="text1"/>
          <w:sz w:val="21"/>
          <w:szCs w:val="21"/>
        </w:rPr>
      </w:pPr>
      <w:bookmarkStart w:id="57" w:name="_Toc296551354"/>
      <w:bookmarkStart w:id="58" w:name="_Toc200545749"/>
      <w:r w:rsidRPr="003A2857">
        <w:rPr>
          <w:rFonts w:hint="eastAsia"/>
          <w:bCs/>
          <w:color w:val="000000" w:themeColor="text1"/>
          <w:sz w:val="21"/>
          <w:szCs w:val="21"/>
        </w:rPr>
        <w:lastRenderedPageBreak/>
        <w:t>第十八条 法律</w:t>
      </w:r>
      <w:r w:rsidRPr="003A2857">
        <w:rPr>
          <w:bCs/>
          <w:color w:val="000000" w:themeColor="text1"/>
          <w:sz w:val="21"/>
          <w:szCs w:val="21"/>
        </w:rPr>
        <w:t>适用和</w:t>
      </w:r>
      <w:r w:rsidRPr="003A2857">
        <w:rPr>
          <w:rFonts w:hint="eastAsia"/>
          <w:bCs/>
          <w:color w:val="000000" w:themeColor="text1"/>
          <w:sz w:val="21"/>
          <w:szCs w:val="21"/>
        </w:rPr>
        <w:t>争议解决</w:t>
      </w:r>
      <w:bookmarkEnd w:id="57"/>
      <w:bookmarkEnd w:id="58"/>
    </w:p>
    <w:p w14:paraId="667CF69A" w14:textId="77777777" w:rsidR="00950499" w:rsidRPr="003A2857" w:rsidRDefault="005541ED" w:rsidP="00FB2E71">
      <w:pPr>
        <w:adjustRightInd w:val="0"/>
        <w:snapToGrid w:val="0"/>
        <w:spacing w:line="520" w:lineRule="atLeast"/>
        <w:ind w:firstLineChars="200" w:firstLine="420"/>
        <w:rPr>
          <w:bCs/>
          <w:color w:val="000000" w:themeColor="text1"/>
          <w:szCs w:val="21"/>
        </w:rPr>
      </w:pPr>
      <w:bookmarkStart w:id="59" w:name="_Hlk194333614"/>
      <w:r w:rsidRPr="003A2857">
        <w:rPr>
          <w:rFonts w:hint="eastAsia"/>
          <w:bCs/>
          <w:color w:val="000000" w:themeColor="text1"/>
          <w:szCs w:val="21"/>
        </w:rPr>
        <w:t>本协议的效力、解释、变更、执行及争议的解决等均适用中华人民共和国法律（为本协议之目的，不包括香港特别行政区、澳门特别行政区以及台湾地区法律），没有相关成文规定的，参照通用的商业惯例和（或）行业惯例。</w:t>
      </w:r>
    </w:p>
    <w:p w14:paraId="630D6A47" w14:textId="77777777" w:rsidR="00950499" w:rsidRPr="003A2857" w:rsidRDefault="005541ED" w:rsidP="00FB2E71">
      <w:pPr>
        <w:adjustRightInd w:val="0"/>
        <w:snapToGrid w:val="0"/>
        <w:spacing w:line="520" w:lineRule="atLeast"/>
        <w:ind w:firstLineChars="200" w:firstLine="422"/>
        <w:rPr>
          <w:b/>
          <w:color w:val="000000" w:themeColor="text1"/>
          <w:szCs w:val="21"/>
        </w:rPr>
      </w:pPr>
      <w:r w:rsidRPr="003A2857">
        <w:rPr>
          <w:rFonts w:hint="eastAsia"/>
          <w:b/>
          <w:color w:val="000000" w:themeColor="text1"/>
          <w:szCs w:val="21"/>
        </w:rPr>
        <w:t>凡因本协议产生的及与本协议有关的争议，双方均应协商解决；协商不成的，双方均同意采取以下方式解决：</w:t>
      </w:r>
    </w:p>
    <w:p w14:paraId="14B31B0F" w14:textId="0340B913" w:rsidR="00950499" w:rsidRPr="003A2857" w:rsidRDefault="009D6689" w:rsidP="00FB2E71">
      <w:pPr>
        <w:adjustRightInd w:val="0"/>
        <w:snapToGrid w:val="0"/>
        <w:spacing w:line="520" w:lineRule="atLeast"/>
        <w:ind w:firstLineChars="200" w:firstLine="422"/>
        <w:rPr>
          <w:b/>
          <w:color w:val="000000" w:themeColor="text1"/>
          <w:szCs w:val="21"/>
        </w:rPr>
      </w:pPr>
      <w:r w:rsidRPr="003A2857">
        <w:rPr>
          <w:rFonts w:hint="eastAsia"/>
          <w:b/>
          <w:color w:val="000000" w:themeColor="text1"/>
          <w:szCs w:val="21"/>
        </w:rPr>
        <w:t>任何一方均</w:t>
      </w:r>
      <w:r w:rsidR="002847EA">
        <w:rPr>
          <w:rFonts w:hint="eastAsia"/>
          <w:b/>
          <w:color w:val="000000" w:themeColor="text1"/>
          <w:szCs w:val="21"/>
        </w:rPr>
        <w:t>应当</w:t>
      </w:r>
      <w:r w:rsidRPr="003A2857">
        <w:rPr>
          <w:rFonts w:hint="eastAsia"/>
          <w:b/>
          <w:color w:val="000000" w:themeColor="text1"/>
          <w:szCs w:val="21"/>
        </w:rPr>
        <w:t>提交中国国际经济贸易仲裁委员会，根据该会当时有效的仲裁规则按照普通程序进行仲裁，仲裁地点为北京，仲裁裁决是终局性的并对各方当事人具有约束力，除非仲裁裁决另有规定，仲裁费由败诉方承担</w:t>
      </w:r>
      <w:r w:rsidR="005541ED" w:rsidRPr="003A2857">
        <w:rPr>
          <w:rFonts w:hint="eastAsia"/>
          <w:b/>
          <w:color w:val="000000" w:themeColor="text1"/>
          <w:szCs w:val="21"/>
        </w:rPr>
        <w:t>。</w:t>
      </w:r>
    </w:p>
    <w:p w14:paraId="3621CC31" w14:textId="77777777" w:rsidR="004A446E" w:rsidRPr="003A2857" w:rsidRDefault="005541ED" w:rsidP="00FB2E71">
      <w:pPr>
        <w:adjustRightInd w:val="0"/>
        <w:snapToGrid w:val="0"/>
        <w:spacing w:line="520" w:lineRule="atLeast"/>
        <w:ind w:firstLineChars="200" w:firstLine="420"/>
        <w:rPr>
          <w:bCs/>
          <w:color w:val="000000" w:themeColor="text1"/>
          <w:szCs w:val="21"/>
        </w:rPr>
      </w:pPr>
      <w:r w:rsidRPr="003A2857">
        <w:rPr>
          <w:rFonts w:hint="eastAsia"/>
          <w:bCs/>
          <w:color w:val="000000" w:themeColor="text1"/>
          <w:szCs w:val="21"/>
        </w:rPr>
        <w:t>争议处理期间，双方当事人应恪守基金管理人和基金托管人职责，继续忠实、勤勉、尽责地履行基金合同和本协议规定的义务，维护基金份额持有人的合法权益。</w:t>
      </w:r>
      <w:bookmarkEnd w:id="59"/>
    </w:p>
    <w:p w14:paraId="49A3410D" w14:textId="77777777" w:rsidR="00950499" w:rsidRPr="003A2857" w:rsidRDefault="005541ED" w:rsidP="00FB2E71">
      <w:pPr>
        <w:pStyle w:val="1"/>
        <w:adjustRightInd w:val="0"/>
        <w:spacing w:line="520" w:lineRule="atLeast"/>
        <w:ind w:firstLineChars="200" w:firstLine="422"/>
        <w:rPr>
          <w:bCs/>
          <w:color w:val="000000" w:themeColor="text1"/>
          <w:sz w:val="21"/>
          <w:szCs w:val="21"/>
        </w:rPr>
      </w:pPr>
      <w:bookmarkStart w:id="60" w:name="_Toc296551355"/>
      <w:bookmarkStart w:id="61" w:name="_Toc200545750"/>
      <w:r w:rsidRPr="003A2857">
        <w:rPr>
          <w:rFonts w:hint="eastAsia"/>
          <w:bCs/>
          <w:color w:val="000000" w:themeColor="text1"/>
          <w:sz w:val="21"/>
          <w:szCs w:val="21"/>
        </w:rPr>
        <w:t>第十九条 本协议的效力</w:t>
      </w:r>
      <w:bookmarkEnd w:id="60"/>
      <w:bookmarkEnd w:id="61"/>
    </w:p>
    <w:p w14:paraId="170373FB" w14:textId="77777777" w:rsidR="00950499" w:rsidRPr="003A2857" w:rsidRDefault="005541ED" w:rsidP="00FB2E71">
      <w:pPr>
        <w:pStyle w:val="20"/>
        <w:adjustRightInd w:val="0"/>
        <w:snapToGrid w:val="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19.1基金管理人在向中国证监会申请发售基金份额时提交的托管协议草案，应经托管协议当事人加盖公章或合同专用章以及双方法定代表人</w:t>
      </w:r>
      <w:r w:rsidRPr="003A2857">
        <w:rPr>
          <w:rFonts w:hAnsi="宋体"/>
          <w:color w:val="000000" w:themeColor="text1"/>
          <w:sz w:val="21"/>
          <w:szCs w:val="21"/>
        </w:rPr>
        <w:t>/负责人</w:t>
      </w:r>
      <w:r w:rsidRPr="003A2857">
        <w:rPr>
          <w:rFonts w:hAnsi="宋体" w:hint="eastAsia"/>
          <w:color w:val="000000" w:themeColor="text1"/>
          <w:sz w:val="21"/>
          <w:szCs w:val="21"/>
        </w:rPr>
        <w:t>或授权代理人签章（签字或加盖名章），本协议当事人双方可能不时根据中国证监会的意见修改托管协议草案。本协议以中国证监会注册的最终文本为正式文本。</w:t>
      </w:r>
    </w:p>
    <w:p w14:paraId="7A851901"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19.2本协议自双方</w:t>
      </w:r>
      <w:r w:rsidRPr="003A2857">
        <w:rPr>
          <w:rFonts w:hAnsi="宋体"/>
          <w:color w:val="000000" w:themeColor="text1"/>
          <w:sz w:val="21"/>
          <w:szCs w:val="21"/>
        </w:rPr>
        <w:t>签订</w:t>
      </w:r>
      <w:r w:rsidRPr="003A2857">
        <w:rPr>
          <w:rFonts w:hAnsi="宋体" w:hint="eastAsia"/>
          <w:color w:val="000000" w:themeColor="text1"/>
          <w:sz w:val="21"/>
          <w:szCs w:val="21"/>
        </w:rPr>
        <w:t>之日起成立，自基金合同生效之日起生效。本协议的有效期自其生效之日起至该基金财产清算结果报中国证监会备案并公告之日止。</w:t>
      </w:r>
    </w:p>
    <w:p w14:paraId="5F1D3DBD" w14:textId="77777777"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19.3本协议自生效之日起对双方具有同等的法律约束力。</w:t>
      </w:r>
    </w:p>
    <w:p w14:paraId="7FD65798" w14:textId="701DA994" w:rsidR="00950499" w:rsidRPr="003A2857" w:rsidRDefault="005541ED" w:rsidP="00FB2E71">
      <w:pPr>
        <w:pStyle w:val="20"/>
        <w:spacing w:before="0" w:after="0" w:line="520" w:lineRule="atLeast"/>
        <w:ind w:left="0" w:firstLineChars="200" w:firstLine="420"/>
        <w:rPr>
          <w:rFonts w:hAnsi="宋体"/>
          <w:color w:val="000000" w:themeColor="text1"/>
          <w:sz w:val="21"/>
          <w:szCs w:val="21"/>
        </w:rPr>
      </w:pPr>
      <w:r w:rsidRPr="003A2857">
        <w:rPr>
          <w:rFonts w:hAnsi="宋体" w:hint="eastAsia"/>
          <w:color w:val="000000" w:themeColor="text1"/>
          <w:sz w:val="21"/>
          <w:szCs w:val="21"/>
        </w:rPr>
        <w:t>19.4本协议正本一式</w:t>
      </w:r>
      <w:r w:rsidR="003A3C14">
        <w:rPr>
          <w:rFonts w:hAnsi="宋体" w:hint="eastAsia"/>
          <w:color w:val="000000" w:themeColor="text1"/>
          <w:sz w:val="21"/>
          <w:szCs w:val="21"/>
        </w:rPr>
        <w:t>三</w:t>
      </w:r>
      <w:r w:rsidRPr="003A2857">
        <w:rPr>
          <w:rFonts w:hAnsi="宋体" w:hint="eastAsia"/>
          <w:color w:val="000000" w:themeColor="text1"/>
          <w:sz w:val="21"/>
          <w:szCs w:val="21"/>
        </w:rPr>
        <w:t>份，除上报有关监管机构</w:t>
      </w:r>
      <w:r w:rsidR="003A3C14">
        <w:rPr>
          <w:rFonts w:hAnsi="宋体" w:hint="eastAsia"/>
          <w:color w:val="000000" w:themeColor="text1"/>
          <w:sz w:val="21"/>
          <w:szCs w:val="21"/>
        </w:rPr>
        <w:t>一</w:t>
      </w:r>
      <w:r w:rsidRPr="003A2857">
        <w:rPr>
          <w:rFonts w:hAnsi="宋体" w:hint="eastAsia"/>
          <w:color w:val="000000" w:themeColor="text1"/>
          <w:sz w:val="21"/>
          <w:szCs w:val="21"/>
        </w:rPr>
        <w:t>份外，基金管理人和基金托管人分别持有</w:t>
      </w:r>
      <w:r w:rsidR="003A3C14">
        <w:rPr>
          <w:rFonts w:hAnsi="宋体" w:hint="eastAsia"/>
          <w:color w:val="000000" w:themeColor="text1"/>
          <w:sz w:val="21"/>
          <w:szCs w:val="21"/>
        </w:rPr>
        <w:t>一</w:t>
      </w:r>
      <w:r w:rsidRPr="003A2857">
        <w:rPr>
          <w:rFonts w:hAnsi="宋体" w:hint="eastAsia"/>
          <w:color w:val="000000" w:themeColor="text1"/>
          <w:sz w:val="21"/>
          <w:szCs w:val="21"/>
        </w:rPr>
        <w:t>份，每份具有同等的法律效力。</w:t>
      </w:r>
    </w:p>
    <w:p w14:paraId="5CEB5D8D" w14:textId="77777777" w:rsidR="00950499" w:rsidRPr="003A2857" w:rsidRDefault="005541ED" w:rsidP="00FB2E71">
      <w:pPr>
        <w:pStyle w:val="1"/>
        <w:spacing w:line="520" w:lineRule="atLeast"/>
        <w:ind w:firstLineChars="200" w:firstLine="422"/>
        <w:rPr>
          <w:bCs/>
          <w:color w:val="000000" w:themeColor="text1"/>
          <w:sz w:val="21"/>
          <w:szCs w:val="21"/>
        </w:rPr>
      </w:pPr>
      <w:bookmarkStart w:id="62" w:name="_Toc296551356"/>
      <w:bookmarkStart w:id="63" w:name="_Toc200545751"/>
      <w:r w:rsidRPr="003A2857">
        <w:rPr>
          <w:rFonts w:hint="eastAsia"/>
          <w:bCs/>
          <w:color w:val="000000" w:themeColor="text1"/>
          <w:sz w:val="21"/>
          <w:szCs w:val="21"/>
        </w:rPr>
        <w:t>第二十条 本协议的签订</w:t>
      </w:r>
      <w:bookmarkEnd w:id="62"/>
      <w:bookmarkEnd w:id="63"/>
    </w:p>
    <w:p w14:paraId="4C70C376" w14:textId="1AEBEC7C" w:rsidR="003A3C14" w:rsidRDefault="005541ED" w:rsidP="00FB2E71">
      <w:pPr>
        <w:snapToGrid w:val="0"/>
        <w:spacing w:line="520" w:lineRule="atLeast"/>
        <w:ind w:firstLineChars="200" w:firstLine="420"/>
        <w:rPr>
          <w:rFonts w:ascii="宋体" w:hAnsi="宋体"/>
          <w:color w:val="000000" w:themeColor="text1"/>
          <w:szCs w:val="21"/>
        </w:rPr>
      </w:pPr>
      <w:r w:rsidRPr="003A2857">
        <w:rPr>
          <w:rFonts w:ascii="宋体" w:hAnsi="宋体" w:hint="eastAsia"/>
          <w:color w:val="000000" w:themeColor="text1"/>
          <w:szCs w:val="21"/>
        </w:rPr>
        <w:t>20.1本协议经基金管理人和基金托管人认可后，由双方当事人在本协议上加盖公章或合同专用章，并由各自的法定代表人</w:t>
      </w:r>
      <w:r w:rsidRPr="003A2857">
        <w:rPr>
          <w:rFonts w:ascii="宋体" w:hAnsi="宋体"/>
          <w:color w:val="000000" w:themeColor="text1"/>
          <w:szCs w:val="21"/>
        </w:rPr>
        <w:t>/负责人</w:t>
      </w:r>
      <w:r w:rsidRPr="003A2857">
        <w:rPr>
          <w:rFonts w:ascii="宋体" w:hAnsi="宋体" w:hint="eastAsia"/>
          <w:color w:val="000000" w:themeColor="text1"/>
          <w:szCs w:val="21"/>
        </w:rPr>
        <w:t>或授权代理人签章（签字或加盖名章），并注明本托管协议的签订地点和签订日期。</w:t>
      </w:r>
    </w:p>
    <w:p w14:paraId="67DC01AC" w14:textId="77777777" w:rsidR="003A3C14" w:rsidRDefault="003A3C14">
      <w:pPr>
        <w:widowControl/>
        <w:jc w:val="left"/>
        <w:rPr>
          <w:rFonts w:ascii="宋体" w:hAnsi="宋体"/>
          <w:color w:val="000000" w:themeColor="text1"/>
          <w:szCs w:val="21"/>
        </w:rPr>
      </w:pPr>
      <w:r>
        <w:rPr>
          <w:rFonts w:ascii="宋体" w:hAnsi="宋体"/>
          <w:color w:val="000000" w:themeColor="text1"/>
          <w:szCs w:val="21"/>
        </w:rPr>
        <w:br w:type="page"/>
      </w:r>
    </w:p>
    <w:p w14:paraId="7E391F43" w14:textId="7FD8FED3" w:rsidR="003A3C14" w:rsidRPr="0036604B" w:rsidRDefault="003A3C14" w:rsidP="003A3C14">
      <w:pPr>
        <w:widowControl/>
        <w:jc w:val="left"/>
        <w:rPr>
          <w:rFonts w:ascii="宋体" w:hAnsi="宋体"/>
          <w:color w:val="000000"/>
          <w:szCs w:val="21"/>
        </w:rPr>
      </w:pPr>
      <w:r w:rsidRPr="0036604B">
        <w:rPr>
          <w:rFonts w:ascii="宋体" w:hAnsi="宋体" w:hint="eastAsia"/>
          <w:color w:val="000000"/>
          <w:szCs w:val="21"/>
        </w:rPr>
        <w:lastRenderedPageBreak/>
        <w:t>本页无正文，为《</w:t>
      </w:r>
      <w:r>
        <w:rPr>
          <w:rFonts w:ascii="宋体" w:hAnsi="宋体" w:hint="eastAsia"/>
          <w:szCs w:val="21"/>
        </w:rPr>
        <w:t>华夏信选</w:t>
      </w:r>
      <w:r w:rsidRPr="00BF22B4">
        <w:rPr>
          <w:rFonts w:ascii="宋体" w:hAnsi="宋体" w:hint="eastAsia"/>
          <w:szCs w:val="21"/>
        </w:rPr>
        <w:t>混合型</w:t>
      </w:r>
      <w:r>
        <w:rPr>
          <w:rFonts w:ascii="宋体" w:hAnsi="宋体" w:hint="eastAsia"/>
          <w:color w:val="000000"/>
          <w:szCs w:val="21"/>
        </w:rPr>
        <w:t>证券投资基金托管协议</w:t>
      </w:r>
      <w:r w:rsidRPr="0036604B">
        <w:rPr>
          <w:rFonts w:ascii="宋体" w:hAnsi="宋体" w:hint="eastAsia"/>
          <w:color w:val="000000"/>
          <w:szCs w:val="21"/>
        </w:rPr>
        <w:t>》签署页。</w:t>
      </w:r>
    </w:p>
    <w:p w14:paraId="7071503D" w14:textId="77777777" w:rsidR="003A3C14" w:rsidRPr="0036604B" w:rsidRDefault="003A3C14" w:rsidP="003A3C14">
      <w:pPr>
        <w:widowControl/>
        <w:jc w:val="left"/>
        <w:rPr>
          <w:rFonts w:ascii="宋体" w:hAnsi="宋体"/>
          <w:color w:val="000000"/>
          <w:szCs w:val="21"/>
        </w:rPr>
      </w:pPr>
    </w:p>
    <w:p w14:paraId="46201A96" w14:textId="77777777" w:rsidR="003A3C14" w:rsidRPr="0036604B" w:rsidRDefault="003A3C14" w:rsidP="003A3C14">
      <w:pPr>
        <w:widowControl/>
        <w:jc w:val="left"/>
        <w:rPr>
          <w:rFonts w:ascii="宋体" w:hAnsi="宋体"/>
          <w:color w:val="000000"/>
          <w:szCs w:val="21"/>
        </w:rPr>
      </w:pPr>
    </w:p>
    <w:p w14:paraId="58A8D205" w14:textId="77777777" w:rsidR="003A3C14" w:rsidRPr="0036604B" w:rsidRDefault="003A3C14" w:rsidP="003A3C14">
      <w:pPr>
        <w:widowControl/>
        <w:jc w:val="left"/>
        <w:rPr>
          <w:rFonts w:ascii="宋体" w:hAnsi="宋体"/>
          <w:color w:val="000000"/>
          <w:szCs w:val="21"/>
        </w:rPr>
      </w:pPr>
    </w:p>
    <w:p w14:paraId="5F8DE860" w14:textId="77777777" w:rsidR="003A3C14" w:rsidRPr="007E2CBD" w:rsidRDefault="003A3C14" w:rsidP="003A3C14">
      <w:pPr>
        <w:widowControl/>
        <w:jc w:val="left"/>
        <w:rPr>
          <w:rFonts w:ascii="宋体" w:hAnsi="宋体"/>
          <w:color w:val="000000"/>
          <w:szCs w:val="21"/>
        </w:rPr>
      </w:pPr>
    </w:p>
    <w:p w14:paraId="62188D8E" w14:textId="77777777" w:rsidR="003A3C14" w:rsidRPr="0036604B" w:rsidRDefault="003A3C14" w:rsidP="003A3C14">
      <w:pPr>
        <w:widowControl/>
        <w:jc w:val="left"/>
        <w:rPr>
          <w:rFonts w:ascii="宋体" w:hAnsi="宋体"/>
          <w:color w:val="000000"/>
          <w:szCs w:val="21"/>
        </w:rPr>
      </w:pPr>
      <w:r w:rsidRPr="0036604B">
        <w:rPr>
          <w:rFonts w:ascii="宋体" w:hAnsi="宋体" w:hint="eastAsia"/>
          <w:color w:val="000000"/>
          <w:szCs w:val="21"/>
        </w:rPr>
        <w:t>基金管理人：华夏基金管理有限公司（盖章）</w:t>
      </w:r>
    </w:p>
    <w:p w14:paraId="62FB62E4" w14:textId="77777777" w:rsidR="003A3C14" w:rsidRDefault="003A3C14" w:rsidP="003A3C14">
      <w:pPr>
        <w:widowControl/>
        <w:jc w:val="left"/>
        <w:rPr>
          <w:rFonts w:ascii="宋体" w:hAnsi="宋体"/>
          <w:color w:val="000000"/>
          <w:szCs w:val="21"/>
        </w:rPr>
      </w:pPr>
    </w:p>
    <w:p w14:paraId="610DAAA7" w14:textId="77777777" w:rsidR="003A3C14" w:rsidRDefault="003A3C14" w:rsidP="003A3C14">
      <w:pPr>
        <w:widowControl/>
        <w:jc w:val="left"/>
        <w:rPr>
          <w:rFonts w:ascii="宋体" w:hAnsi="宋体"/>
          <w:color w:val="000000"/>
          <w:szCs w:val="21"/>
        </w:rPr>
      </w:pPr>
    </w:p>
    <w:p w14:paraId="6458C319" w14:textId="77777777" w:rsidR="003A3C14" w:rsidRPr="0036604B" w:rsidRDefault="003A3C14" w:rsidP="003A3C14">
      <w:pPr>
        <w:widowControl/>
        <w:jc w:val="left"/>
        <w:rPr>
          <w:rFonts w:ascii="宋体" w:hAnsi="宋体"/>
          <w:color w:val="000000"/>
          <w:szCs w:val="21"/>
        </w:rPr>
      </w:pPr>
    </w:p>
    <w:p w14:paraId="3C418EA4" w14:textId="77777777" w:rsidR="003A3C14" w:rsidRPr="0036604B" w:rsidRDefault="003A3C14" w:rsidP="003A3C14">
      <w:pPr>
        <w:widowControl/>
        <w:jc w:val="left"/>
        <w:rPr>
          <w:rFonts w:ascii="宋体" w:hAnsi="宋体"/>
          <w:color w:val="000000"/>
          <w:szCs w:val="21"/>
        </w:rPr>
      </w:pPr>
    </w:p>
    <w:p w14:paraId="3A0A0D62" w14:textId="77777777" w:rsidR="003A3C14" w:rsidRPr="0036604B" w:rsidRDefault="003A3C14" w:rsidP="003A3C14">
      <w:pPr>
        <w:widowControl/>
        <w:jc w:val="left"/>
        <w:rPr>
          <w:rFonts w:ascii="宋体" w:hAnsi="宋体"/>
          <w:color w:val="000000"/>
          <w:szCs w:val="21"/>
        </w:rPr>
      </w:pPr>
      <w:r w:rsidRPr="0036604B">
        <w:rPr>
          <w:rFonts w:ascii="宋体" w:hAnsi="宋体" w:hint="eastAsia"/>
          <w:color w:val="000000"/>
          <w:szCs w:val="21"/>
        </w:rPr>
        <w:t>法定代表人或授权代表（签字或盖章）：</w:t>
      </w:r>
    </w:p>
    <w:p w14:paraId="2EB04058" w14:textId="77777777" w:rsidR="003A3C14" w:rsidRDefault="003A3C14" w:rsidP="003A3C14">
      <w:pPr>
        <w:widowControl/>
        <w:jc w:val="left"/>
        <w:rPr>
          <w:rFonts w:ascii="宋体" w:hAnsi="宋体"/>
          <w:color w:val="000000"/>
          <w:szCs w:val="21"/>
        </w:rPr>
      </w:pPr>
    </w:p>
    <w:p w14:paraId="3AA13E58" w14:textId="77777777" w:rsidR="003A3C14" w:rsidRDefault="003A3C14" w:rsidP="003A3C14">
      <w:pPr>
        <w:widowControl/>
        <w:jc w:val="left"/>
        <w:rPr>
          <w:rFonts w:ascii="宋体" w:hAnsi="宋体"/>
          <w:color w:val="000000"/>
          <w:szCs w:val="21"/>
        </w:rPr>
      </w:pPr>
    </w:p>
    <w:p w14:paraId="56E18FA8" w14:textId="77777777" w:rsidR="003A3C14" w:rsidRPr="0036604B" w:rsidRDefault="003A3C14" w:rsidP="003A3C14">
      <w:pPr>
        <w:widowControl/>
        <w:jc w:val="left"/>
        <w:rPr>
          <w:rFonts w:ascii="宋体" w:hAnsi="宋体"/>
          <w:color w:val="000000"/>
          <w:szCs w:val="21"/>
        </w:rPr>
      </w:pPr>
    </w:p>
    <w:p w14:paraId="26510A22" w14:textId="77777777" w:rsidR="003A3C14" w:rsidRPr="0036604B" w:rsidRDefault="003A3C14" w:rsidP="003A3C14">
      <w:pPr>
        <w:widowControl/>
        <w:jc w:val="left"/>
        <w:rPr>
          <w:rFonts w:ascii="宋体" w:hAnsi="宋体"/>
          <w:color w:val="000000"/>
          <w:szCs w:val="21"/>
        </w:rPr>
      </w:pPr>
    </w:p>
    <w:p w14:paraId="0DFE75A0" w14:textId="77777777" w:rsidR="003A3C14" w:rsidRPr="0036604B" w:rsidRDefault="003A3C14" w:rsidP="003A3C14">
      <w:pPr>
        <w:widowControl/>
        <w:jc w:val="left"/>
        <w:rPr>
          <w:rFonts w:ascii="宋体" w:hAnsi="宋体"/>
          <w:color w:val="000000"/>
          <w:szCs w:val="21"/>
        </w:rPr>
      </w:pPr>
      <w:r w:rsidRPr="0036604B">
        <w:rPr>
          <w:rFonts w:ascii="宋体" w:hAnsi="宋体" w:hint="eastAsia"/>
          <w:color w:val="000000"/>
          <w:szCs w:val="21"/>
        </w:rPr>
        <w:t xml:space="preserve">签订日期：  </w:t>
      </w:r>
      <w:r w:rsidRPr="0036604B">
        <w:rPr>
          <w:rFonts w:ascii="宋体" w:hAnsi="宋体" w:hint="eastAsia"/>
          <w:color w:val="000000"/>
          <w:szCs w:val="21"/>
        </w:rPr>
        <w:tab/>
        <w:t>年</w:t>
      </w:r>
      <w:r w:rsidRPr="0036604B">
        <w:rPr>
          <w:rFonts w:ascii="宋体" w:hAnsi="宋体" w:hint="eastAsia"/>
          <w:color w:val="000000"/>
          <w:szCs w:val="21"/>
        </w:rPr>
        <w:tab/>
      </w:r>
      <w:r>
        <w:rPr>
          <w:rFonts w:ascii="宋体" w:hAnsi="宋体"/>
          <w:color w:val="000000"/>
          <w:szCs w:val="21"/>
        </w:rPr>
        <w:t xml:space="preserve"> </w:t>
      </w:r>
      <w:r w:rsidRPr="0036604B">
        <w:rPr>
          <w:rFonts w:ascii="宋体" w:hAnsi="宋体" w:hint="eastAsia"/>
          <w:color w:val="000000"/>
          <w:szCs w:val="21"/>
        </w:rPr>
        <w:t>月</w:t>
      </w:r>
      <w:r w:rsidRPr="0036604B">
        <w:rPr>
          <w:rFonts w:ascii="宋体" w:hAnsi="宋体" w:hint="eastAsia"/>
          <w:color w:val="000000"/>
          <w:szCs w:val="21"/>
        </w:rPr>
        <w:tab/>
      </w:r>
      <w:r>
        <w:rPr>
          <w:rFonts w:ascii="宋体" w:hAnsi="宋体"/>
          <w:color w:val="000000"/>
          <w:szCs w:val="21"/>
        </w:rPr>
        <w:t xml:space="preserve">  </w:t>
      </w:r>
      <w:r w:rsidRPr="0036604B">
        <w:rPr>
          <w:rFonts w:ascii="宋体" w:hAnsi="宋体" w:hint="eastAsia"/>
          <w:color w:val="000000"/>
          <w:szCs w:val="21"/>
        </w:rPr>
        <w:t>日</w:t>
      </w:r>
    </w:p>
    <w:p w14:paraId="75F3223C" w14:textId="77777777" w:rsidR="003A3C14" w:rsidRPr="0036604B" w:rsidRDefault="003A3C14" w:rsidP="003A3C14">
      <w:pPr>
        <w:widowControl/>
        <w:jc w:val="left"/>
        <w:rPr>
          <w:rFonts w:ascii="宋体" w:hAnsi="宋体"/>
          <w:color w:val="000000"/>
          <w:szCs w:val="21"/>
        </w:rPr>
      </w:pPr>
    </w:p>
    <w:p w14:paraId="0B7550F6" w14:textId="77777777" w:rsidR="003A3C14" w:rsidRDefault="003A3C14" w:rsidP="003A3C14">
      <w:pPr>
        <w:widowControl/>
        <w:jc w:val="left"/>
        <w:rPr>
          <w:rFonts w:ascii="宋体" w:hAnsi="宋体"/>
          <w:color w:val="000000"/>
          <w:szCs w:val="21"/>
        </w:rPr>
      </w:pPr>
    </w:p>
    <w:p w14:paraId="2EAF95E8" w14:textId="77777777" w:rsidR="003A3C14" w:rsidRDefault="003A3C14" w:rsidP="003A3C14">
      <w:pPr>
        <w:widowControl/>
        <w:jc w:val="left"/>
        <w:rPr>
          <w:rFonts w:ascii="宋体" w:hAnsi="宋体"/>
          <w:color w:val="000000"/>
          <w:szCs w:val="21"/>
        </w:rPr>
      </w:pPr>
    </w:p>
    <w:p w14:paraId="2116A306" w14:textId="77777777" w:rsidR="003A3C14" w:rsidRDefault="003A3C14" w:rsidP="003A3C14">
      <w:pPr>
        <w:widowControl/>
        <w:jc w:val="left"/>
        <w:rPr>
          <w:rFonts w:ascii="宋体" w:hAnsi="宋体"/>
          <w:color w:val="000000"/>
          <w:szCs w:val="21"/>
        </w:rPr>
      </w:pPr>
    </w:p>
    <w:p w14:paraId="7C78EA6D" w14:textId="77777777" w:rsidR="003A3C14" w:rsidRDefault="003A3C14" w:rsidP="003A3C14">
      <w:pPr>
        <w:widowControl/>
        <w:jc w:val="left"/>
        <w:rPr>
          <w:rFonts w:ascii="宋体" w:hAnsi="宋体"/>
          <w:color w:val="000000"/>
          <w:szCs w:val="21"/>
        </w:rPr>
      </w:pPr>
    </w:p>
    <w:p w14:paraId="45C66237" w14:textId="77777777" w:rsidR="003A3C14" w:rsidRPr="0036604B" w:rsidRDefault="003A3C14" w:rsidP="003A3C14">
      <w:pPr>
        <w:widowControl/>
        <w:jc w:val="left"/>
        <w:rPr>
          <w:rFonts w:ascii="宋体" w:hAnsi="宋体"/>
          <w:color w:val="000000"/>
          <w:szCs w:val="21"/>
        </w:rPr>
      </w:pPr>
    </w:p>
    <w:p w14:paraId="66B2B351" w14:textId="77777777" w:rsidR="003A3C14" w:rsidRPr="0036604B" w:rsidRDefault="003A3C14" w:rsidP="003A3C14">
      <w:pPr>
        <w:widowControl/>
        <w:jc w:val="left"/>
        <w:rPr>
          <w:rFonts w:ascii="宋体" w:hAnsi="宋体"/>
          <w:color w:val="000000"/>
          <w:szCs w:val="21"/>
        </w:rPr>
      </w:pPr>
    </w:p>
    <w:p w14:paraId="7096145F" w14:textId="77777777" w:rsidR="003A3C14" w:rsidRPr="0036604B" w:rsidRDefault="003A3C14" w:rsidP="003A3C14">
      <w:pPr>
        <w:widowControl/>
        <w:jc w:val="left"/>
        <w:rPr>
          <w:rFonts w:ascii="宋体" w:hAnsi="宋体"/>
          <w:color w:val="000000"/>
          <w:szCs w:val="21"/>
        </w:rPr>
      </w:pPr>
      <w:r w:rsidRPr="0036604B">
        <w:rPr>
          <w:rFonts w:ascii="宋体" w:hAnsi="宋体" w:hint="eastAsia"/>
          <w:color w:val="000000"/>
          <w:szCs w:val="21"/>
        </w:rPr>
        <w:t>基金托管人：</w:t>
      </w:r>
      <w:r>
        <w:rPr>
          <w:rFonts w:ascii="宋体" w:hAnsi="宋体" w:hint="eastAsia"/>
          <w:color w:val="000000"/>
          <w:szCs w:val="21"/>
        </w:rPr>
        <w:t>中信银行</w:t>
      </w:r>
      <w:r w:rsidRPr="0036604B">
        <w:rPr>
          <w:rFonts w:ascii="宋体" w:hAnsi="宋体" w:hint="eastAsia"/>
          <w:color w:val="000000"/>
          <w:szCs w:val="21"/>
        </w:rPr>
        <w:t>股份有限公司（盖章）</w:t>
      </w:r>
    </w:p>
    <w:p w14:paraId="48987A92" w14:textId="77777777" w:rsidR="003A3C14" w:rsidRPr="0036604B" w:rsidRDefault="003A3C14" w:rsidP="003A3C14">
      <w:pPr>
        <w:widowControl/>
        <w:jc w:val="left"/>
        <w:rPr>
          <w:rFonts w:ascii="宋体" w:hAnsi="宋体"/>
          <w:color w:val="000000"/>
          <w:szCs w:val="21"/>
        </w:rPr>
      </w:pPr>
    </w:p>
    <w:p w14:paraId="1CA308D6" w14:textId="77777777" w:rsidR="003A3C14" w:rsidRDefault="003A3C14" w:rsidP="003A3C14">
      <w:pPr>
        <w:widowControl/>
        <w:jc w:val="left"/>
        <w:rPr>
          <w:rFonts w:ascii="宋体" w:hAnsi="宋体"/>
          <w:color w:val="000000"/>
          <w:szCs w:val="21"/>
        </w:rPr>
      </w:pPr>
    </w:p>
    <w:p w14:paraId="3596AC65" w14:textId="77777777" w:rsidR="003A3C14" w:rsidRDefault="003A3C14" w:rsidP="003A3C14">
      <w:pPr>
        <w:widowControl/>
        <w:jc w:val="left"/>
        <w:rPr>
          <w:rFonts w:ascii="宋体" w:hAnsi="宋体"/>
          <w:color w:val="000000"/>
          <w:szCs w:val="21"/>
        </w:rPr>
      </w:pPr>
    </w:p>
    <w:p w14:paraId="7060706F" w14:textId="77777777" w:rsidR="003A3C14" w:rsidRPr="0036604B" w:rsidRDefault="003A3C14" w:rsidP="003A3C14">
      <w:pPr>
        <w:widowControl/>
        <w:jc w:val="left"/>
        <w:rPr>
          <w:rFonts w:ascii="宋体" w:hAnsi="宋体"/>
          <w:color w:val="000000"/>
          <w:szCs w:val="21"/>
        </w:rPr>
      </w:pPr>
    </w:p>
    <w:p w14:paraId="3EC6590C" w14:textId="77777777" w:rsidR="003A3C14" w:rsidRPr="0036604B" w:rsidRDefault="003A3C14" w:rsidP="003A3C14">
      <w:pPr>
        <w:widowControl/>
        <w:jc w:val="left"/>
        <w:rPr>
          <w:rFonts w:ascii="宋体" w:hAnsi="宋体"/>
          <w:color w:val="000000"/>
          <w:szCs w:val="21"/>
        </w:rPr>
      </w:pPr>
      <w:r w:rsidRPr="0036604B">
        <w:rPr>
          <w:rFonts w:ascii="宋体" w:hAnsi="宋体" w:hint="eastAsia"/>
          <w:color w:val="000000"/>
          <w:szCs w:val="21"/>
        </w:rPr>
        <w:t>法定代表人或授权代表（签字或盖章）：</w:t>
      </w:r>
    </w:p>
    <w:p w14:paraId="5A52EB9D" w14:textId="77777777" w:rsidR="003A3C14" w:rsidRPr="0036604B" w:rsidRDefault="003A3C14" w:rsidP="003A3C14">
      <w:pPr>
        <w:widowControl/>
        <w:jc w:val="left"/>
        <w:rPr>
          <w:rFonts w:ascii="宋体" w:hAnsi="宋体"/>
          <w:color w:val="000000"/>
          <w:szCs w:val="21"/>
        </w:rPr>
      </w:pPr>
    </w:p>
    <w:p w14:paraId="3A25C01A" w14:textId="77777777" w:rsidR="003A3C14" w:rsidRDefault="003A3C14" w:rsidP="003A3C14">
      <w:pPr>
        <w:widowControl/>
        <w:jc w:val="left"/>
        <w:rPr>
          <w:rFonts w:ascii="宋体" w:hAnsi="宋体"/>
          <w:color w:val="000000"/>
          <w:szCs w:val="21"/>
        </w:rPr>
      </w:pPr>
    </w:p>
    <w:p w14:paraId="554765A8" w14:textId="77777777" w:rsidR="003A3C14" w:rsidRDefault="003A3C14" w:rsidP="003A3C14">
      <w:pPr>
        <w:widowControl/>
        <w:jc w:val="left"/>
        <w:rPr>
          <w:rFonts w:ascii="宋体" w:hAnsi="宋体"/>
          <w:color w:val="000000"/>
          <w:szCs w:val="21"/>
        </w:rPr>
      </w:pPr>
    </w:p>
    <w:p w14:paraId="2F13D16C" w14:textId="77777777" w:rsidR="003A3C14" w:rsidRPr="0036604B" w:rsidRDefault="003A3C14" w:rsidP="003A3C14">
      <w:pPr>
        <w:widowControl/>
        <w:jc w:val="left"/>
        <w:rPr>
          <w:rFonts w:ascii="宋体" w:hAnsi="宋体"/>
          <w:color w:val="000000"/>
          <w:szCs w:val="21"/>
        </w:rPr>
      </w:pPr>
    </w:p>
    <w:p w14:paraId="2655EB96" w14:textId="77777777" w:rsidR="003A3C14" w:rsidRPr="00A12B1B" w:rsidRDefault="003A3C14" w:rsidP="003A3C14">
      <w:pPr>
        <w:widowControl/>
        <w:jc w:val="left"/>
        <w:rPr>
          <w:rFonts w:ascii="宋体" w:hAnsi="宋体"/>
          <w:color w:val="000000"/>
          <w:szCs w:val="21"/>
        </w:rPr>
      </w:pPr>
      <w:r w:rsidRPr="0036604B">
        <w:rPr>
          <w:rFonts w:ascii="宋体" w:hAnsi="宋体" w:hint="eastAsia"/>
          <w:color w:val="000000"/>
          <w:szCs w:val="21"/>
        </w:rPr>
        <w:t>签订日期：</w:t>
      </w:r>
      <w:r w:rsidRPr="0036604B">
        <w:rPr>
          <w:rFonts w:ascii="宋体" w:hAnsi="宋体" w:hint="eastAsia"/>
          <w:color w:val="000000"/>
          <w:szCs w:val="21"/>
        </w:rPr>
        <w:tab/>
        <w:t xml:space="preserve">  </w:t>
      </w:r>
      <w:r w:rsidRPr="0036604B">
        <w:rPr>
          <w:rFonts w:ascii="宋体" w:hAnsi="宋体" w:hint="eastAsia"/>
          <w:color w:val="000000"/>
          <w:szCs w:val="21"/>
        </w:rPr>
        <w:tab/>
        <w:t>年</w:t>
      </w:r>
      <w:r>
        <w:rPr>
          <w:rFonts w:ascii="宋体" w:hAnsi="宋体" w:hint="eastAsia"/>
          <w:color w:val="000000"/>
          <w:szCs w:val="21"/>
        </w:rPr>
        <w:t xml:space="preserve"> </w:t>
      </w:r>
      <w:r>
        <w:rPr>
          <w:rFonts w:ascii="宋体" w:hAnsi="宋体"/>
          <w:color w:val="000000"/>
          <w:szCs w:val="21"/>
        </w:rPr>
        <w:t xml:space="preserve"> </w:t>
      </w:r>
      <w:r w:rsidRPr="0036604B">
        <w:rPr>
          <w:rFonts w:ascii="宋体" w:hAnsi="宋体" w:hint="eastAsia"/>
          <w:color w:val="000000"/>
          <w:szCs w:val="21"/>
        </w:rPr>
        <w:t>月</w:t>
      </w:r>
      <w:r w:rsidRPr="0036604B">
        <w:rPr>
          <w:rFonts w:ascii="宋体" w:hAnsi="宋体" w:hint="eastAsia"/>
          <w:color w:val="000000"/>
          <w:szCs w:val="21"/>
        </w:rPr>
        <w:tab/>
      </w:r>
      <w:r>
        <w:rPr>
          <w:rFonts w:ascii="宋体" w:hAnsi="宋体"/>
          <w:color w:val="000000"/>
          <w:szCs w:val="21"/>
        </w:rPr>
        <w:t xml:space="preserve"> </w:t>
      </w:r>
      <w:r w:rsidRPr="0036604B">
        <w:rPr>
          <w:rFonts w:ascii="宋体" w:hAnsi="宋体" w:hint="eastAsia"/>
          <w:color w:val="000000"/>
          <w:szCs w:val="21"/>
        </w:rPr>
        <w:t>日</w:t>
      </w:r>
    </w:p>
    <w:p w14:paraId="493B9AAE" w14:textId="77777777" w:rsidR="003A3C14" w:rsidRDefault="003A3C14" w:rsidP="003A3C14">
      <w:pPr>
        <w:spacing w:line="360" w:lineRule="auto"/>
        <w:rPr>
          <w:bCs/>
          <w:color w:val="000000" w:themeColor="text1"/>
          <w:szCs w:val="21"/>
        </w:rPr>
      </w:pPr>
    </w:p>
    <w:p w14:paraId="0EA9E01A" w14:textId="77777777" w:rsidR="003A3C14" w:rsidRPr="002C52FA" w:rsidRDefault="003A3C14" w:rsidP="003A3C14">
      <w:pPr>
        <w:spacing w:line="360" w:lineRule="auto"/>
        <w:ind w:right="420"/>
        <w:jc w:val="left"/>
        <w:rPr>
          <w:bCs/>
          <w:szCs w:val="21"/>
        </w:rPr>
      </w:pPr>
    </w:p>
    <w:p w14:paraId="425A3D3C" w14:textId="77777777" w:rsidR="00950499" w:rsidRPr="003A2857" w:rsidRDefault="00950499" w:rsidP="003A3C14">
      <w:pPr>
        <w:snapToGrid w:val="0"/>
        <w:spacing w:line="520" w:lineRule="atLeast"/>
        <w:rPr>
          <w:rFonts w:ascii="宋体" w:hAnsi="宋体"/>
          <w:color w:val="000000" w:themeColor="text1"/>
          <w:szCs w:val="21"/>
        </w:rPr>
      </w:pPr>
    </w:p>
    <w:sectPr w:rsidR="00950499" w:rsidRPr="003A2857" w:rsidSect="00F96C4F">
      <w:headerReference w:type="even" r:id="rId10"/>
      <w:headerReference w:type="default" r:id="rId11"/>
      <w:footerReference w:type="even" r:id="rId12"/>
      <w:footerReference w:type="default" r:id="rId13"/>
      <w:headerReference w:type="first" r:id="rId14"/>
      <w:footerReference w:type="first" r:id="rId15"/>
      <w:pgSz w:w="11907" w:h="16840" w:code="9"/>
      <w:pgMar w:top="1440" w:right="1797" w:bottom="1440" w:left="1797" w:header="720" w:footer="720" w:gutter="0"/>
      <w:pgNumType w:start="0"/>
      <w:cols w:space="720"/>
      <w:titlePg/>
      <w:docGrid w:type="lines" w:linePitch="3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C0889" w14:textId="77777777" w:rsidR="00EB3C0A" w:rsidRDefault="00EB3C0A">
      <w:r>
        <w:separator/>
      </w:r>
    </w:p>
  </w:endnote>
  <w:endnote w:type="continuationSeparator" w:id="0">
    <w:p w14:paraId="6396415C" w14:textId="77777777" w:rsidR="00EB3C0A" w:rsidRDefault="00EB3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2951A" w14:textId="77777777" w:rsidR="002422A0" w:rsidRDefault="002422A0">
    <w:pPr>
      <w:pStyle w:val="af"/>
      <w:framePr w:wrap="around" w:vAnchor="text" w:hAnchor="margin" w:xAlign="center" w:y="1"/>
      <w:rPr>
        <w:rStyle w:val="af3"/>
      </w:rPr>
    </w:pPr>
    <w:r>
      <w:fldChar w:fldCharType="begin"/>
    </w:r>
    <w:r>
      <w:rPr>
        <w:rStyle w:val="af3"/>
      </w:rPr>
      <w:instrText xml:space="preserve">PAGE  </w:instrText>
    </w:r>
    <w:r>
      <w:fldChar w:fldCharType="end"/>
    </w:r>
  </w:p>
  <w:p w14:paraId="6A7EBE57" w14:textId="77777777" w:rsidR="002422A0" w:rsidRDefault="002422A0">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62AB8" w14:textId="77777777" w:rsidR="002422A0" w:rsidRDefault="002422A0">
    <w:pPr>
      <w:pStyle w:val="af"/>
      <w:framePr w:wrap="around" w:vAnchor="text" w:hAnchor="margin" w:xAlign="center" w:y="1"/>
      <w:rPr>
        <w:rStyle w:val="af3"/>
      </w:rPr>
    </w:pPr>
    <w:r>
      <w:fldChar w:fldCharType="begin"/>
    </w:r>
    <w:r>
      <w:rPr>
        <w:rStyle w:val="af3"/>
      </w:rPr>
      <w:instrText xml:space="preserve">PAGE  </w:instrText>
    </w:r>
    <w:r>
      <w:fldChar w:fldCharType="separate"/>
    </w:r>
    <w:r w:rsidR="009D3B11">
      <w:rPr>
        <w:rStyle w:val="af3"/>
        <w:noProof/>
      </w:rPr>
      <w:t>2</w:t>
    </w:r>
    <w:r>
      <w:fldChar w:fldCharType="end"/>
    </w:r>
  </w:p>
  <w:p w14:paraId="7C01B92B" w14:textId="77777777" w:rsidR="002422A0" w:rsidRDefault="002422A0">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DC57F" w14:textId="77777777" w:rsidR="008C2674" w:rsidRDefault="008C2674">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39529" w14:textId="77777777" w:rsidR="00EB3C0A" w:rsidRDefault="00EB3C0A">
      <w:r>
        <w:separator/>
      </w:r>
    </w:p>
  </w:footnote>
  <w:footnote w:type="continuationSeparator" w:id="0">
    <w:p w14:paraId="3A16E086" w14:textId="77777777" w:rsidR="00EB3C0A" w:rsidRDefault="00EB3C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CC3FE" w14:textId="77777777" w:rsidR="008C2674" w:rsidRDefault="008C2674">
    <w:pPr>
      <w:pStyle w:val="af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8AFC8" w14:textId="1AEC828E" w:rsidR="002422A0" w:rsidRPr="002155A2" w:rsidRDefault="00F50124" w:rsidP="002155A2">
    <w:pPr>
      <w:pStyle w:val="af1"/>
      <w:jc w:val="right"/>
      <w:rPr>
        <w:sz w:val="4"/>
      </w:rPr>
    </w:pPr>
    <w:r>
      <w:rPr>
        <w:rFonts w:ascii="宋体" w:hAnsi="宋体" w:hint="eastAsia"/>
        <w:noProof/>
        <w:color w:val="000000" w:themeColor="text1"/>
      </w:rPr>
      <w:pict w14:anchorId="24A17E6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0;margin-top:0;width:585pt;height:30pt;rotation:315;z-index:251661312;mso-position-horizontal:center;mso-position-horizontal-relative:margin;mso-position-vertical:center;mso-position-vertical-relative:margin" fillcolor="#7e7676" stroked="f">
          <v:fill opacity="11796f"/>
          <v:stroke r:id="rId1" o:title=""/>
          <v:shadow color="#868686"/>
          <v:textpath style="font-family:&quot;宋体&quot;;font-size:30pt;v-text-kern:t" trim="t" fitpath="t" string="华夏基金管理有限公司&amp;2025-06-11&amp;zhangyy"/>
          <o:lock v:ext="edit" aspectratio="t"/>
          <w10:wrap side="largest" anchorx="margin" anchory="margin"/>
        </v:shape>
      </w:pict>
    </w:r>
    <w:r w:rsidR="002422A0" w:rsidRPr="00670326">
      <w:rPr>
        <w:rFonts w:ascii="宋体" w:hAnsi="宋体" w:hint="eastAsia"/>
        <w:color w:val="000000" w:themeColor="text1"/>
      </w:rPr>
      <w:t>华夏信选混合型证券投资基金托管协议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12735" w14:textId="6F9CC3DC" w:rsidR="008C2674" w:rsidRDefault="00F50124">
    <w:pPr>
      <w:pStyle w:val="af1"/>
    </w:pPr>
    <w:r>
      <w:rPr>
        <w:noProof/>
      </w:rPr>
      <w:pict w14:anchorId="4B60D5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0;margin-top:0;width:585pt;height:30pt;rotation:315;z-index:251659264;mso-position-horizontal:center;mso-position-horizontal-relative:margin;mso-position-vertical:center;mso-position-vertical-relative:margin" fillcolor="#7e7676" stroked="f">
          <v:fill opacity="11796f"/>
          <v:stroke r:id="rId1" o:title=""/>
          <v:shadow color="#868686"/>
          <v:textpath style="font-family:&quot;宋体&quot;;font-size:30pt;v-text-kern:t" trim="t" fitpath="t" string="华夏基金管理有限公司&amp;2025-06-11&amp;zhangyy"/>
          <o:lock v:ext="edit" aspectratio="t"/>
          <w10:wrap side="largest"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38082D"/>
    <w:multiLevelType w:val="hybridMultilevel"/>
    <w:tmpl w:val="8CD44096"/>
    <w:lvl w:ilvl="0" w:tplc="EDCE8D4E">
      <w:start w:val="1"/>
      <w:numFmt w:val="decimal"/>
      <w:lvlText w:val="%1、"/>
      <w:lvlJc w:val="left"/>
      <w:pPr>
        <w:ind w:left="780" w:hanging="360"/>
      </w:pPr>
      <w:rPr>
        <w:rFonts w:hint="default"/>
      </w:rPr>
    </w:lvl>
    <w:lvl w:ilvl="1" w:tplc="6EB6A0A0">
      <w:start w:val="1"/>
      <w:numFmt w:val="lowerLetter"/>
      <w:lvlText w:val="%2)"/>
      <w:lvlJc w:val="left"/>
      <w:pPr>
        <w:ind w:left="1260" w:hanging="420"/>
      </w:pPr>
    </w:lvl>
    <w:lvl w:ilvl="2" w:tplc="BB32E9CA">
      <w:start w:val="1"/>
      <w:numFmt w:val="lowerRoman"/>
      <w:lvlText w:val="%3."/>
      <w:lvlJc w:val="right"/>
      <w:pPr>
        <w:ind w:left="1680" w:hanging="420"/>
      </w:pPr>
    </w:lvl>
    <w:lvl w:ilvl="3" w:tplc="693E08B2">
      <w:start w:val="1"/>
      <w:numFmt w:val="decimal"/>
      <w:lvlText w:val="%4."/>
      <w:lvlJc w:val="left"/>
      <w:pPr>
        <w:ind w:left="2100" w:hanging="420"/>
      </w:pPr>
    </w:lvl>
    <w:lvl w:ilvl="4" w:tplc="D958A966">
      <w:start w:val="1"/>
      <w:numFmt w:val="lowerLetter"/>
      <w:lvlText w:val="%5)"/>
      <w:lvlJc w:val="left"/>
      <w:pPr>
        <w:ind w:left="2520" w:hanging="420"/>
      </w:pPr>
    </w:lvl>
    <w:lvl w:ilvl="5" w:tplc="5AF6F9FC">
      <w:start w:val="1"/>
      <w:numFmt w:val="lowerRoman"/>
      <w:lvlText w:val="%6."/>
      <w:lvlJc w:val="right"/>
      <w:pPr>
        <w:ind w:left="2940" w:hanging="420"/>
      </w:pPr>
    </w:lvl>
    <w:lvl w:ilvl="6" w:tplc="05D4EE5C">
      <w:start w:val="1"/>
      <w:numFmt w:val="decimal"/>
      <w:lvlText w:val="%7."/>
      <w:lvlJc w:val="left"/>
      <w:pPr>
        <w:ind w:left="3360" w:hanging="420"/>
      </w:pPr>
    </w:lvl>
    <w:lvl w:ilvl="7" w:tplc="F0D4B552">
      <w:start w:val="1"/>
      <w:numFmt w:val="lowerLetter"/>
      <w:lvlText w:val="%8)"/>
      <w:lvlJc w:val="left"/>
      <w:pPr>
        <w:ind w:left="3780" w:hanging="420"/>
      </w:pPr>
    </w:lvl>
    <w:lvl w:ilvl="8" w:tplc="80F2255C">
      <w:start w:val="1"/>
      <w:numFmt w:val="lowerRoman"/>
      <w:lvlText w:val="%9."/>
      <w:lvlJc w:val="right"/>
      <w:pPr>
        <w:ind w:left="4200" w:hanging="420"/>
      </w:pPr>
    </w:lvl>
  </w:abstractNum>
  <w:num w:numId="1" w16cid:durableId="176432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317"/>
  <w:displayHorizontalDrawingGridEvery w:val="0"/>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2CCB"/>
    <w:rsid w:val="00005F02"/>
    <w:rsid w:val="00006A92"/>
    <w:rsid w:val="00006EF5"/>
    <w:rsid w:val="00007EEE"/>
    <w:rsid w:val="000107EC"/>
    <w:rsid w:val="00013D96"/>
    <w:rsid w:val="00014405"/>
    <w:rsid w:val="00014C75"/>
    <w:rsid w:val="00014D0C"/>
    <w:rsid w:val="000156D9"/>
    <w:rsid w:val="0001713B"/>
    <w:rsid w:val="00017F23"/>
    <w:rsid w:val="000217E4"/>
    <w:rsid w:val="00023A92"/>
    <w:rsid w:val="00027285"/>
    <w:rsid w:val="00033A7B"/>
    <w:rsid w:val="000346E8"/>
    <w:rsid w:val="00035920"/>
    <w:rsid w:val="00037404"/>
    <w:rsid w:val="00037818"/>
    <w:rsid w:val="00037980"/>
    <w:rsid w:val="00042A25"/>
    <w:rsid w:val="00042EEE"/>
    <w:rsid w:val="00043FB7"/>
    <w:rsid w:val="00046B2A"/>
    <w:rsid w:val="000559C3"/>
    <w:rsid w:val="00056A7A"/>
    <w:rsid w:val="00057427"/>
    <w:rsid w:val="000603A2"/>
    <w:rsid w:val="00060C29"/>
    <w:rsid w:val="00062021"/>
    <w:rsid w:val="00062E2D"/>
    <w:rsid w:val="00066BF4"/>
    <w:rsid w:val="0006754D"/>
    <w:rsid w:val="00071F28"/>
    <w:rsid w:val="00072CF4"/>
    <w:rsid w:val="0007356D"/>
    <w:rsid w:val="00074856"/>
    <w:rsid w:val="0007750D"/>
    <w:rsid w:val="0008163D"/>
    <w:rsid w:val="000877E6"/>
    <w:rsid w:val="00093120"/>
    <w:rsid w:val="00096B83"/>
    <w:rsid w:val="00097B13"/>
    <w:rsid w:val="000A112C"/>
    <w:rsid w:val="000A228B"/>
    <w:rsid w:val="000A6174"/>
    <w:rsid w:val="000A69C5"/>
    <w:rsid w:val="000A6FC1"/>
    <w:rsid w:val="000B1E50"/>
    <w:rsid w:val="000B3513"/>
    <w:rsid w:val="000B7E99"/>
    <w:rsid w:val="000C0905"/>
    <w:rsid w:val="000C152B"/>
    <w:rsid w:val="000C2F51"/>
    <w:rsid w:val="000C4913"/>
    <w:rsid w:val="000C7AB7"/>
    <w:rsid w:val="000D0BD5"/>
    <w:rsid w:val="000D17C9"/>
    <w:rsid w:val="000D59DE"/>
    <w:rsid w:val="000E216E"/>
    <w:rsid w:val="000E3608"/>
    <w:rsid w:val="000E69F8"/>
    <w:rsid w:val="000F3C4E"/>
    <w:rsid w:val="000F6613"/>
    <w:rsid w:val="001022CC"/>
    <w:rsid w:val="0010239C"/>
    <w:rsid w:val="00102F71"/>
    <w:rsid w:val="00107051"/>
    <w:rsid w:val="00114396"/>
    <w:rsid w:val="00115AA2"/>
    <w:rsid w:val="001177F0"/>
    <w:rsid w:val="001233AF"/>
    <w:rsid w:val="00130C38"/>
    <w:rsid w:val="00132302"/>
    <w:rsid w:val="00132BE4"/>
    <w:rsid w:val="00135362"/>
    <w:rsid w:val="00137C67"/>
    <w:rsid w:val="0014134F"/>
    <w:rsid w:val="0014169A"/>
    <w:rsid w:val="0014323B"/>
    <w:rsid w:val="00143504"/>
    <w:rsid w:val="00143E7F"/>
    <w:rsid w:val="00145C16"/>
    <w:rsid w:val="00146F90"/>
    <w:rsid w:val="00147333"/>
    <w:rsid w:val="001618D7"/>
    <w:rsid w:val="00161E02"/>
    <w:rsid w:val="001657D8"/>
    <w:rsid w:val="00166BE9"/>
    <w:rsid w:val="00175B0A"/>
    <w:rsid w:val="00180B60"/>
    <w:rsid w:val="00182FF7"/>
    <w:rsid w:val="00183760"/>
    <w:rsid w:val="001848CC"/>
    <w:rsid w:val="00190D40"/>
    <w:rsid w:val="001A4FE6"/>
    <w:rsid w:val="001B0A60"/>
    <w:rsid w:val="001B0F1A"/>
    <w:rsid w:val="001B2959"/>
    <w:rsid w:val="001B2AF0"/>
    <w:rsid w:val="001B2E1D"/>
    <w:rsid w:val="001B34F8"/>
    <w:rsid w:val="001B687D"/>
    <w:rsid w:val="001B7022"/>
    <w:rsid w:val="001C1BB5"/>
    <w:rsid w:val="001C2ACF"/>
    <w:rsid w:val="001C545B"/>
    <w:rsid w:val="001C66BC"/>
    <w:rsid w:val="001C779A"/>
    <w:rsid w:val="001D03D4"/>
    <w:rsid w:val="001D09A0"/>
    <w:rsid w:val="001D3E64"/>
    <w:rsid w:val="001D444B"/>
    <w:rsid w:val="001E33B7"/>
    <w:rsid w:val="001E3ECC"/>
    <w:rsid w:val="001E6B63"/>
    <w:rsid w:val="001E6CC3"/>
    <w:rsid w:val="001F0342"/>
    <w:rsid w:val="001F1C99"/>
    <w:rsid w:val="001F5108"/>
    <w:rsid w:val="00203D12"/>
    <w:rsid w:val="002045A2"/>
    <w:rsid w:val="00205409"/>
    <w:rsid w:val="00206D81"/>
    <w:rsid w:val="00212D46"/>
    <w:rsid w:val="00214195"/>
    <w:rsid w:val="002155A2"/>
    <w:rsid w:val="002158ED"/>
    <w:rsid w:val="00216E66"/>
    <w:rsid w:val="00217901"/>
    <w:rsid w:val="002216DF"/>
    <w:rsid w:val="00221C8C"/>
    <w:rsid w:val="00222AE4"/>
    <w:rsid w:val="002254CA"/>
    <w:rsid w:val="00225A43"/>
    <w:rsid w:val="002300F4"/>
    <w:rsid w:val="002309FE"/>
    <w:rsid w:val="00234CB5"/>
    <w:rsid w:val="00236499"/>
    <w:rsid w:val="00236FA4"/>
    <w:rsid w:val="002422A0"/>
    <w:rsid w:val="00244076"/>
    <w:rsid w:val="00244CEE"/>
    <w:rsid w:val="00244F0B"/>
    <w:rsid w:val="002464DB"/>
    <w:rsid w:val="00251308"/>
    <w:rsid w:val="00256509"/>
    <w:rsid w:val="002567AE"/>
    <w:rsid w:val="002620B5"/>
    <w:rsid w:val="0026403B"/>
    <w:rsid w:val="00270B1B"/>
    <w:rsid w:val="00271BEE"/>
    <w:rsid w:val="00273F36"/>
    <w:rsid w:val="0027511C"/>
    <w:rsid w:val="00275823"/>
    <w:rsid w:val="002771AB"/>
    <w:rsid w:val="00280105"/>
    <w:rsid w:val="00282CB6"/>
    <w:rsid w:val="00283722"/>
    <w:rsid w:val="002847EA"/>
    <w:rsid w:val="002927D0"/>
    <w:rsid w:val="002944AF"/>
    <w:rsid w:val="002A153D"/>
    <w:rsid w:val="002A34FB"/>
    <w:rsid w:val="002A4043"/>
    <w:rsid w:val="002A4594"/>
    <w:rsid w:val="002A5134"/>
    <w:rsid w:val="002B0CA2"/>
    <w:rsid w:val="002B2B25"/>
    <w:rsid w:val="002B2B46"/>
    <w:rsid w:val="002B3EC4"/>
    <w:rsid w:val="002B5039"/>
    <w:rsid w:val="002C4590"/>
    <w:rsid w:val="002C7260"/>
    <w:rsid w:val="002D0533"/>
    <w:rsid w:val="002D2708"/>
    <w:rsid w:val="002D278E"/>
    <w:rsid w:val="002D5AC8"/>
    <w:rsid w:val="002E2AB5"/>
    <w:rsid w:val="002E423B"/>
    <w:rsid w:val="002F1D9A"/>
    <w:rsid w:val="002F1FB2"/>
    <w:rsid w:val="002F7C1F"/>
    <w:rsid w:val="0030473A"/>
    <w:rsid w:val="00304F72"/>
    <w:rsid w:val="0030785F"/>
    <w:rsid w:val="0031060D"/>
    <w:rsid w:val="00310905"/>
    <w:rsid w:val="00312509"/>
    <w:rsid w:val="00314EE7"/>
    <w:rsid w:val="00317BE9"/>
    <w:rsid w:val="003229E8"/>
    <w:rsid w:val="00326261"/>
    <w:rsid w:val="00330DBF"/>
    <w:rsid w:val="00342101"/>
    <w:rsid w:val="00343183"/>
    <w:rsid w:val="00345E38"/>
    <w:rsid w:val="0035177F"/>
    <w:rsid w:val="00363BF9"/>
    <w:rsid w:val="003660FE"/>
    <w:rsid w:val="00370E6A"/>
    <w:rsid w:val="00376470"/>
    <w:rsid w:val="00376534"/>
    <w:rsid w:val="00380257"/>
    <w:rsid w:val="003820CE"/>
    <w:rsid w:val="0038599A"/>
    <w:rsid w:val="00385CF5"/>
    <w:rsid w:val="00393029"/>
    <w:rsid w:val="00393A4B"/>
    <w:rsid w:val="0039570A"/>
    <w:rsid w:val="0039704D"/>
    <w:rsid w:val="00397378"/>
    <w:rsid w:val="003A21D3"/>
    <w:rsid w:val="003A2857"/>
    <w:rsid w:val="003A3C14"/>
    <w:rsid w:val="003A4C9D"/>
    <w:rsid w:val="003A64E9"/>
    <w:rsid w:val="003A7609"/>
    <w:rsid w:val="003B0F07"/>
    <w:rsid w:val="003B240A"/>
    <w:rsid w:val="003B7C32"/>
    <w:rsid w:val="003C20E6"/>
    <w:rsid w:val="003C235D"/>
    <w:rsid w:val="003C2DEB"/>
    <w:rsid w:val="003C306C"/>
    <w:rsid w:val="003C3C90"/>
    <w:rsid w:val="003C5A81"/>
    <w:rsid w:val="003C67A3"/>
    <w:rsid w:val="003C6E19"/>
    <w:rsid w:val="003D0785"/>
    <w:rsid w:val="003D24E0"/>
    <w:rsid w:val="003D34FC"/>
    <w:rsid w:val="003D48C9"/>
    <w:rsid w:val="003D6E5F"/>
    <w:rsid w:val="003D7086"/>
    <w:rsid w:val="003D778D"/>
    <w:rsid w:val="003E25E9"/>
    <w:rsid w:val="003E2D4D"/>
    <w:rsid w:val="003E57C9"/>
    <w:rsid w:val="003E5B9D"/>
    <w:rsid w:val="003E619A"/>
    <w:rsid w:val="003E728E"/>
    <w:rsid w:val="003F26BF"/>
    <w:rsid w:val="003F32DF"/>
    <w:rsid w:val="003F38FA"/>
    <w:rsid w:val="003F4121"/>
    <w:rsid w:val="003F76F1"/>
    <w:rsid w:val="00403FA4"/>
    <w:rsid w:val="00411E11"/>
    <w:rsid w:val="00411EC2"/>
    <w:rsid w:val="0041673C"/>
    <w:rsid w:val="00417D16"/>
    <w:rsid w:val="004262EA"/>
    <w:rsid w:val="0042648F"/>
    <w:rsid w:val="004269D6"/>
    <w:rsid w:val="0042732A"/>
    <w:rsid w:val="00430FD3"/>
    <w:rsid w:val="004311E8"/>
    <w:rsid w:val="0043328B"/>
    <w:rsid w:val="004339DF"/>
    <w:rsid w:val="004346A5"/>
    <w:rsid w:val="00436366"/>
    <w:rsid w:val="0043710B"/>
    <w:rsid w:val="004412E4"/>
    <w:rsid w:val="00441F0D"/>
    <w:rsid w:val="00443EEB"/>
    <w:rsid w:val="004464B7"/>
    <w:rsid w:val="0044652B"/>
    <w:rsid w:val="00451371"/>
    <w:rsid w:val="00455161"/>
    <w:rsid w:val="004558DF"/>
    <w:rsid w:val="00456A15"/>
    <w:rsid w:val="00457B45"/>
    <w:rsid w:val="0046023B"/>
    <w:rsid w:val="00462A74"/>
    <w:rsid w:val="004670BB"/>
    <w:rsid w:val="004702E5"/>
    <w:rsid w:val="00470F6A"/>
    <w:rsid w:val="0047261D"/>
    <w:rsid w:val="00472976"/>
    <w:rsid w:val="004734B3"/>
    <w:rsid w:val="00474712"/>
    <w:rsid w:val="0048045F"/>
    <w:rsid w:val="00485DFE"/>
    <w:rsid w:val="00490CC4"/>
    <w:rsid w:val="004A0749"/>
    <w:rsid w:val="004A2093"/>
    <w:rsid w:val="004A21FA"/>
    <w:rsid w:val="004A26BE"/>
    <w:rsid w:val="004A3B61"/>
    <w:rsid w:val="004A446E"/>
    <w:rsid w:val="004A4507"/>
    <w:rsid w:val="004A5E06"/>
    <w:rsid w:val="004B0A2F"/>
    <w:rsid w:val="004B3F78"/>
    <w:rsid w:val="004B76D3"/>
    <w:rsid w:val="004C14BD"/>
    <w:rsid w:val="004C4238"/>
    <w:rsid w:val="004C5378"/>
    <w:rsid w:val="004C7064"/>
    <w:rsid w:val="004C7BEF"/>
    <w:rsid w:val="004D40A2"/>
    <w:rsid w:val="004D7082"/>
    <w:rsid w:val="004E306E"/>
    <w:rsid w:val="004E5206"/>
    <w:rsid w:val="004E5621"/>
    <w:rsid w:val="004E7254"/>
    <w:rsid w:val="004F2C02"/>
    <w:rsid w:val="004F2CD0"/>
    <w:rsid w:val="004F4570"/>
    <w:rsid w:val="004F5507"/>
    <w:rsid w:val="004F5ED3"/>
    <w:rsid w:val="004F7098"/>
    <w:rsid w:val="00500435"/>
    <w:rsid w:val="00500834"/>
    <w:rsid w:val="00504BA3"/>
    <w:rsid w:val="00507836"/>
    <w:rsid w:val="00507BD9"/>
    <w:rsid w:val="005121E1"/>
    <w:rsid w:val="0051457F"/>
    <w:rsid w:val="005147D9"/>
    <w:rsid w:val="00514ECE"/>
    <w:rsid w:val="005223A4"/>
    <w:rsid w:val="00526BD9"/>
    <w:rsid w:val="005302BD"/>
    <w:rsid w:val="00530616"/>
    <w:rsid w:val="005307DB"/>
    <w:rsid w:val="00532411"/>
    <w:rsid w:val="00533B7B"/>
    <w:rsid w:val="005366E9"/>
    <w:rsid w:val="00537A67"/>
    <w:rsid w:val="0054036A"/>
    <w:rsid w:val="005417F4"/>
    <w:rsid w:val="00541A7B"/>
    <w:rsid w:val="00543408"/>
    <w:rsid w:val="00544239"/>
    <w:rsid w:val="00552CCB"/>
    <w:rsid w:val="00552CE9"/>
    <w:rsid w:val="005535A8"/>
    <w:rsid w:val="005541ED"/>
    <w:rsid w:val="00555087"/>
    <w:rsid w:val="005576FE"/>
    <w:rsid w:val="0056376B"/>
    <w:rsid w:val="005662BD"/>
    <w:rsid w:val="005662DE"/>
    <w:rsid w:val="00587AA1"/>
    <w:rsid w:val="00591580"/>
    <w:rsid w:val="00591B16"/>
    <w:rsid w:val="005A11E0"/>
    <w:rsid w:val="005A1862"/>
    <w:rsid w:val="005A1FC8"/>
    <w:rsid w:val="005A38DE"/>
    <w:rsid w:val="005A52A1"/>
    <w:rsid w:val="005A745C"/>
    <w:rsid w:val="005B05A6"/>
    <w:rsid w:val="005B0CCB"/>
    <w:rsid w:val="005B0F25"/>
    <w:rsid w:val="005B4A54"/>
    <w:rsid w:val="005B6D06"/>
    <w:rsid w:val="005B7532"/>
    <w:rsid w:val="005C1C72"/>
    <w:rsid w:val="005C5DFC"/>
    <w:rsid w:val="005D0467"/>
    <w:rsid w:val="005D11F0"/>
    <w:rsid w:val="005D18F6"/>
    <w:rsid w:val="005D442A"/>
    <w:rsid w:val="005D4DA3"/>
    <w:rsid w:val="005E0DF0"/>
    <w:rsid w:val="005E2FF6"/>
    <w:rsid w:val="005E3419"/>
    <w:rsid w:val="005E3FB2"/>
    <w:rsid w:val="005E751A"/>
    <w:rsid w:val="005F012D"/>
    <w:rsid w:val="005F0CA6"/>
    <w:rsid w:val="005F221B"/>
    <w:rsid w:val="005F42C5"/>
    <w:rsid w:val="005F48DE"/>
    <w:rsid w:val="005F7024"/>
    <w:rsid w:val="00601D3D"/>
    <w:rsid w:val="0060330F"/>
    <w:rsid w:val="006039BB"/>
    <w:rsid w:val="00604C7B"/>
    <w:rsid w:val="00611112"/>
    <w:rsid w:val="006117E4"/>
    <w:rsid w:val="00614609"/>
    <w:rsid w:val="00616872"/>
    <w:rsid w:val="006238E1"/>
    <w:rsid w:val="00627E17"/>
    <w:rsid w:val="00627FB2"/>
    <w:rsid w:val="00630C12"/>
    <w:rsid w:val="00631068"/>
    <w:rsid w:val="006333AF"/>
    <w:rsid w:val="0063582D"/>
    <w:rsid w:val="006374EE"/>
    <w:rsid w:val="006433ED"/>
    <w:rsid w:val="00645BD9"/>
    <w:rsid w:val="00646351"/>
    <w:rsid w:val="0065050A"/>
    <w:rsid w:val="00651342"/>
    <w:rsid w:val="006513FE"/>
    <w:rsid w:val="00652628"/>
    <w:rsid w:val="0065472A"/>
    <w:rsid w:val="0065631C"/>
    <w:rsid w:val="0065675D"/>
    <w:rsid w:val="0066277C"/>
    <w:rsid w:val="006631BB"/>
    <w:rsid w:val="006643B1"/>
    <w:rsid w:val="00670326"/>
    <w:rsid w:val="006704D3"/>
    <w:rsid w:val="00671709"/>
    <w:rsid w:val="00672EA6"/>
    <w:rsid w:val="006745D6"/>
    <w:rsid w:val="0067490C"/>
    <w:rsid w:val="00674E25"/>
    <w:rsid w:val="0067636E"/>
    <w:rsid w:val="00676F66"/>
    <w:rsid w:val="00681B36"/>
    <w:rsid w:val="00682F3F"/>
    <w:rsid w:val="0068465B"/>
    <w:rsid w:val="0069476A"/>
    <w:rsid w:val="006A187B"/>
    <w:rsid w:val="006A7C46"/>
    <w:rsid w:val="006B3419"/>
    <w:rsid w:val="006B5645"/>
    <w:rsid w:val="006B567E"/>
    <w:rsid w:val="006C543A"/>
    <w:rsid w:val="006D403F"/>
    <w:rsid w:val="006D512A"/>
    <w:rsid w:val="006E1C21"/>
    <w:rsid w:val="006E5F66"/>
    <w:rsid w:val="006E616F"/>
    <w:rsid w:val="006E6265"/>
    <w:rsid w:val="006E747F"/>
    <w:rsid w:val="006F4830"/>
    <w:rsid w:val="006F60E3"/>
    <w:rsid w:val="006F6CD2"/>
    <w:rsid w:val="006F7AD3"/>
    <w:rsid w:val="006F7F18"/>
    <w:rsid w:val="007041FF"/>
    <w:rsid w:val="0070432C"/>
    <w:rsid w:val="00705281"/>
    <w:rsid w:val="0070544A"/>
    <w:rsid w:val="007105D4"/>
    <w:rsid w:val="00712E45"/>
    <w:rsid w:val="00714EDA"/>
    <w:rsid w:val="00715971"/>
    <w:rsid w:val="007171D3"/>
    <w:rsid w:val="007211EF"/>
    <w:rsid w:val="0072239D"/>
    <w:rsid w:val="00722A5C"/>
    <w:rsid w:val="00722E92"/>
    <w:rsid w:val="00723A7F"/>
    <w:rsid w:val="00723B98"/>
    <w:rsid w:val="00731307"/>
    <w:rsid w:val="00742138"/>
    <w:rsid w:val="00743726"/>
    <w:rsid w:val="0074389D"/>
    <w:rsid w:val="007451E3"/>
    <w:rsid w:val="007476AA"/>
    <w:rsid w:val="00750A9C"/>
    <w:rsid w:val="0075595F"/>
    <w:rsid w:val="007564E2"/>
    <w:rsid w:val="00757C03"/>
    <w:rsid w:val="00757ED4"/>
    <w:rsid w:val="007648BE"/>
    <w:rsid w:val="00764931"/>
    <w:rsid w:val="00770384"/>
    <w:rsid w:val="00772F6C"/>
    <w:rsid w:val="00773CE9"/>
    <w:rsid w:val="007750ED"/>
    <w:rsid w:val="00775161"/>
    <w:rsid w:val="00777C8C"/>
    <w:rsid w:val="00780455"/>
    <w:rsid w:val="0078303E"/>
    <w:rsid w:val="007865D8"/>
    <w:rsid w:val="00786DDE"/>
    <w:rsid w:val="00792ABE"/>
    <w:rsid w:val="00795FC7"/>
    <w:rsid w:val="007A4FFD"/>
    <w:rsid w:val="007B02F6"/>
    <w:rsid w:val="007B0920"/>
    <w:rsid w:val="007B0DCD"/>
    <w:rsid w:val="007B1075"/>
    <w:rsid w:val="007B2169"/>
    <w:rsid w:val="007B40CD"/>
    <w:rsid w:val="007C0F18"/>
    <w:rsid w:val="007C3B71"/>
    <w:rsid w:val="007C56B2"/>
    <w:rsid w:val="007D0DDC"/>
    <w:rsid w:val="007D21F7"/>
    <w:rsid w:val="007D532B"/>
    <w:rsid w:val="007E2AA0"/>
    <w:rsid w:val="007E3074"/>
    <w:rsid w:val="007E66C2"/>
    <w:rsid w:val="007F28F2"/>
    <w:rsid w:val="007F37EC"/>
    <w:rsid w:val="007F780A"/>
    <w:rsid w:val="00806439"/>
    <w:rsid w:val="00810562"/>
    <w:rsid w:val="008138B1"/>
    <w:rsid w:val="00815E67"/>
    <w:rsid w:val="00816328"/>
    <w:rsid w:val="00816E98"/>
    <w:rsid w:val="0082011A"/>
    <w:rsid w:val="00820261"/>
    <w:rsid w:val="008265FB"/>
    <w:rsid w:val="0082713B"/>
    <w:rsid w:val="0083307F"/>
    <w:rsid w:val="00836045"/>
    <w:rsid w:val="008402D5"/>
    <w:rsid w:val="00844028"/>
    <w:rsid w:val="0084464F"/>
    <w:rsid w:val="00844681"/>
    <w:rsid w:val="0084596D"/>
    <w:rsid w:val="00850170"/>
    <w:rsid w:val="00850A81"/>
    <w:rsid w:val="00853FDC"/>
    <w:rsid w:val="00854B8C"/>
    <w:rsid w:val="00855B9C"/>
    <w:rsid w:val="00857A81"/>
    <w:rsid w:val="0086120E"/>
    <w:rsid w:val="008723BB"/>
    <w:rsid w:val="0087434D"/>
    <w:rsid w:val="008758F6"/>
    <w:rsid w:val="00877831"/>
    <w:rsid w:val="0088044B"/>
    <w:rsid w:val="008815F1"/>
    <w:rsid w:val="008844F6"/>
    <w:rsid w:val="00886001"/>
    <w:rsid w:val="0088782C"/>
    <w:rsid w:val="00887CEE"/>
    <w:rsid w:val="00887CFC"/>
    <w:rsid w:val="00895349"/>
    <w:rsid w:val="008963F5"/>
    <w:rsid w:val="008A160E"/>
    <w:rsid w:val="008A1BC0"/>
    <w:rsid w:val="008A1C89"/>
    <w:rsid w:val="008A452D"/>
    <w:rsid w:val="008A50D6"/>
    <w:rsid w:val="008A772E"/>
    <w:rsid w:val="008A77A6"/>
    <w:rsid w:val="008A7F32"/>
    <w:rsid w:val="008B7214"/>
    <w:rsid w:val="008C2674"/>
    <w:rsid w:val="008C5202"/>
    <w:rsid w:val="008D2524"/>
    <w:rsid w:val="008E29CC"/>
    <w:rsid w:val="008E3AE4"/>
    <w:rsid w:val="008E6EE6"/>
    <w:rsid w:val="008E7B24"/>
    <w:rsid w:val="008E7EC5"/>
    <w:rsid w:val="008F3907"/>
    <w:rsid w:val="008F3F36"/>
    <w:rsid w:val="008F4C30"/>
    <w:rsid w:val="008F7242"/>
    <w:rsid w:val="0090034A"/>
    <w:rsid w:val="00901F55"/>
    <w:rsid w:val="00910563"/>
    <w:rsid w:val="00910BB9"/>
    <w:rsid w:val="00912E35"/>
    <w:rsid w:val="0091346D"/>
    <w:rsid w:val="009168DA"/>
    <w:rsid w:val="0091746B"/>
    <w:rsid w:val="00922C37"/>
    <w:rsid w:val="00922E0D"/>
    <w:rsid w:val="00922EF4"/>
    <w:rsid w:val="00923621"/>
    <w:rsid w:val="00925BAE"/>
    <w:rsid w:val="009278B8"/>
    <w:rsid w:val="00930C87"/>
    <w:rsid w:val="00932CB7"/>
    <w:rsid w:val="00934CFF"/>
    <w:rsid w:val="009356DD"/>
    <w:rsid w:val="00935CAC"/>
    <w:rsid w:val="0094040B"/>
    <w:rsid w:val="00941164"/>
    <w:rsid w:val="00942E0B"/>
    <w:rsid w:val="0094750A"/>
    <w:rsid w:val="00950499"/>
    <w:rsid w:val="00951D67"/>
    <w:rsid w:val="009534CD"/>
    <w:rsid w:val="00956305"/>
    <w:rsid w:val="009568E1"/>
    <w:rsid w:val="00956C59"/>
    <w:rsid w:val="00961105"/>
    <w:rsid w:val="00961CF2"/>
    <w:rsid w:val="009637CC"/>
    <w:rsid w:val="00965D6A"/>
    <w:rsid w:val="00967914"/>
    <w:rsid w:val="00970199"/>
    <w:rsid w:val="00972E11"/>
    <w:rsid w:val="00972E6B"/>
    <w:rsid w:val="00976194"/>
    <w:rsid w:val="00976C4F"/>
    <w:rsid w:val="00980790"/>
    <w:rsid w:val="00980965"/>
    <w:rsid w:val="00983D29"/>
    <w:rsid w:val="00983EC2"/>
    <w:rsid w:val="009860C1"/>
    <w:rsid w:val="0099164C"/>
    <w:rsid w:val="009929CB"/>
    <w:rsid w:val="00992C48"/>
    <w:rsid w:val="00994A1B"/>
    <w:rsid w:val="00994EDA"/>
    <w:rsid w:val="00996D63"/>
    <w:rsid w:val="00997B73"/>
    <w:rsid w:val="00997B9E"/>
    <w:rsid w:val="00997CAB"/>
    <w:rsid w:val="009A3719"/>
    <w:rsid w:val="009A39CE"/>
    <w:rsid w:val="009A6C03"/>
    <w:rsid w:val="009B7AFF"/>
    <w:rsid w:val="009C05E6"/>
    <w:rsid w:val="009C26D3"/>
    <w:rsid w:val="009D3B11"/>
    <w:rsid w:val="009D3DFA"/>
    <w:rsid w:val="009D5128"/>
    <w:rsid w:val="009D5D04"/>
    <w:rsid w:val="009D6689"/>
    <w:rsid w:val="009E0844"/>
    <w:rsid w:val="009E263C"/>
    <w:rsid w:val="009E4F5A"/>
    <w:rsid w:val="009F038B"/>
    <w:rsid w:val="009F1D94"/>
    <w:rsid w:val="009F232A"/>
    <w:rsid w:val="009F37F6"/>
    <w:rsid w:val="00A11937"/>
    <w:rsid w:val="00A11C5F"/>
    <w:rsid w:val="00A3173D"/>
    <w:rsid w:val="00A317FB"/>
    <w:rsid w:val="00A32ED7"/>
    <w:rsid w:val="00A33B45"/>
    <w:rsid w:val="00A34C6D"/>
    <w:rsid w:val="00A430CF"/>
    <w:rsid w:val="00A4457D"/>
    <w:rsid w:val="00A464EF"/>
    <w:rsid w:val="00A478F7"/>
    <w:rsid w:val="00A5325C"/>
    <w:rsid w:val="00A549CD"/>
    <w:rsid w:val="00A54BDA"/>
    <w:rsid w:val="00A5593A"/>
    <w:rsid w:val="00A600C1"/>
    <w:rsid w:val="00A61E5C"/>
    <w:rsid w:val="00A70FD1"/>
    <w:rsid w:val="00A72A31"/>
    <w:rsid w:val="00A76D15"/>
    <w:rsid w:val="00A80572"/>
    <w:rsid w:val="00A82BB8"/>
    <w:rsid w:val="00A872C3"/>
    <w:rsid w:val="00A90358"/>
    <w:rsid w:val="00A90A88"/>
    <w:rsid w:val="00A91212"/>
    <w:rsid w:val="00A96F7C"/>
    <w:rsid w:val="00AA0364"/>
    <w:rsid w:val="00AA086B"/>
    <w:rsid w:val="00AA26EB"/>
    <w:rsid w:val="00AA3B97"/>
    <w:rsid w:val="00AA45A5"/>
    <w:rsid w:val="00AA5D4A"/>
    <w:rsid w:val="00AA62F1"/>
    <w:rsid w:val="00AA6893"/>
    <w:rsid w:val="00AA74F1"/>
    <w:rsid w:val="00AB08D8"/>
    <w:rsid w:val="00AB097D"/>
    <w:rsid w:val="00AB2EC1"/>
    <w:rsid w:val="00AB6770"/>
    <w:rsid w:val="00AB76A9"/>
    <w:rsid w:val="00AC12C9"/>
    <w:rsid w:val="00AC7A32"/>
    <w:rsid w:val="00AD13BC"/>
    <w:rsid w:val="00AD1B3E"/>
    <w:rsid w:val="00AD38E5"/>
    <w:rsid w:val="00AD46EC"/>
    <w:rsid w:val="00AD5EB2"/>
    <w:rsid w:val="00AE0BFF"/>
    <w:rsid w:val="00AE0CE6"/>
    <w:rsid w:val="00B0046B"/>
    <w:rsid w:val="00B03495"/>
    <w:rsid w:val="00B049FA"/>
    <w:rsid w:val="00B04E35"/>
    <w:rsid w:val="00B06962"/>
    <w:rsid w:val="00B13317"/>
    <w:rsid w:val="00B14B93"/>
    <w:rsid w:val="00B240D8"/>
    <w:rsid w:val="00B310E5"/>
    <w:rsid w:val="00B34B8F"/>
    <w:rsid w:val="00B37F3D"/>
    <w:rsid w:val="00B41AB2"/>
    <w:rsid w:val="00B42A85"/>
    <w:rsid w:val="00B42BD5"/>
    <w:rsid w:val="00B4586E"/>
    <w:rsid w:val="00B47EC6"/>
    <w:rsid w:val="00B50738"/>
    <w:rsid w:val="00B56ABC"/>
    <w:rsid w:val="00B603D1"/>
    <w:rsid w:val="00B60E44"/>
    <w:rsid w:val="00B61FF9"/>
    <w:rsid w:val="00B63751"/>
    <w:rsid w:val="00B65B26"/>
    <w:rsid w:val="00B65D3D"/>
    <w:rsid w:val="00B66879"/>
    <w:rsid w:val="00B719B1"/>
    <w:rsid w:val="00B73796"/>
    <w:rsid w:val="00B74A93"/>
    <w:rsid w:val="00B74D3E"/>
    <w:rsid w:val="00B76F64"/>
    <w:rsid w:val="00B77FC9"/>
    <w:rsid w:val="00B90203"/>
    <w:rsid w:val="00B92165"/>
    <w:rsid w:val="00B9229E"/>
    <w:rsid w:val="00B9620D"/>
    <w:rsid w:val="00BA1072"/>
    <w:rsid w:val="00BA1995"/>
    <w:rsid w:val="00BA1FFA"/>
    <w:rsid w:val="00BA71B2"/>
    <w:rsid w:val="00BA7CDA"/>
    <w:rsid w:val="00BB055E"/>
    <w:rsid w:val="00BB1D20"/>
    <w:rsid w:val="00BB45C2"/>
    <w:rsid w:val="00BB6B31"/>
    <w:rsid w:val="00BC0D5D"/>
    <w:rsid w:val="00BC11DF"/>
    <w:rsid w:val="00BC397C"/>
    <w:rsid w:val="00BC3AE4"/>
    <w:rsid w:val="00BC48B3"/>
    <w:rsid w:val="00BC5414"/>
    <w:rsid w:val="00BC64D1"/>
    <w:rsid w:val="00BD1B35"/>
    <w:rsid w:val="00BD1EA5"/>
    <w:rsid w:val="00BD582F"/>
    <w:rsid w:val="00BD6014"/>
    <w:rsid w:val="00BE2976"/>
    <w:rsid w:val="00BE3072"/>
    <w:rsid w:val="00BE467D"/>
    <w:rsid w:val="00BE46D4"/>
    <w:rsid w:val="00BE4A2E"/>
    <w:rsid w:val="00BE78A0"/>
    <w:rsid w:val="00C00B3A"/>
    <w:rsid w:val="00C00C5E"/>
    <w:rsid w:val="00C0180A"/>
    <w:rsid w:val="00C01EEA"/>
    <w:rsid w:val="00C04FDD"/>
    <w:rsid w:val="00C06901"/>
    <w:rsid w:val="00C11109"/>
    <w:rsid w:val="00C118AC"/>
    <w:rsid w:val="00C14204"/>
    <w:rsid w:val="00C15064"/>
    <w:rsid w:val="00C17895"/>
    <w:rsid w:val="00C21B5A"/>
    <w:rsid w:val="00C25D19"/>
    <w:rsid w:val="00C324F8"/>
    <w:rsid w:val="00C34241"/>
    <w:rsid w:val="00C37C51"/>
    <w:rsid w:val="00C44C0D"/>
    <w:rsid w:val="00C44C75"/>
    <w:rsid w:val="00C45FEC"/>
    <w:rsid w:val="00C51A27"/>
    <w:rsid w:val="00C51E98"/>
    <w:rsid w:val="00C520BD"/>
    <w:rsid w:val="00C63EF2"/>
    <w:rsid w:val="00C723B2"/>
    <w:rsid w:val="00C747D9"/>
    <w:rsid w:val="00C7729D"/>
    <w:rsid w:val="00C822D7"/>
    <w:rsid w:val="00C8236C"/>
    <w:rsid w:val="00C850FD"/>
    <w:rsid w:val="00C919C8"/>
    <w:rsid w:val="00C934E2"/>
    <w:rsid w:val="00C94574"/>
    <w:rsid w:val="00C9703A"/>
    <w:rsid w:val="00CA0ECC"/>
    <w:rsid w:val="00CA14B0"/>
    <w:rsid w:val="00CA48B0"/>
    <w:rsid w:val="00CA7829"/>
    <w:rsid w:val="00CB1555"/>
    <w:rsid w:val="00CB1963"/>
    <w:rsid w:val="00CB1E25"/>
    <w:rsid w:val="00CB595B"/>
    <w:rsid w:val="00CB6238"/>
    <w:rsid w:val="00CC0307"/>
    <w:rsid w:val="00CC44D8"/>
    <w:rsid w:val="00CD1D50"/>
    <w:rsid w:val="00CD2AB3"/>
    <w:rsid w:val="00CD5447"/>
    <w:rsid w:val="00CD6DA2"/>
    <w:rsid w:val="00CD735B"/>
    <w:rsid w:val="00CD757A"/>
    <w:rsid w:val="00CE187B"/>
    <w:rsid w:val="00CE1A63"/>
    <w:rsid w:val="00CF0833"/>
    <w:rsid w:val="00CF1814"/>
    <w:rsid w:val="00CF2667"/>
    <w:rsid w:val="00CF2E69"/>
    <w:rsid w:val="00CF33B4"/>
    <w:rsid w:val="00D025C1"/>
    <w:rsid w:val="00D039C5"/>
    <w:rsid w:val="00D03C31"/>
    <w:rsid w:val="00D12262"/>
    <w:rsid w:val="00D127E7"/>
    <w:rsid w:val="00D15D80"/>
    <w:rsid w:val="00D167CB"/>
    <w:rsid w:val="00D20771"/>
    <w:rsid w:val="00D2248B"/>
    <w:rsid w:val="00D23019"/>
    <w:rsid w:val="00D23C7C"/>
    <w:rsid w:val="00D25D94"/>
    <w:rsid w:val="00D267C4"/>
    <w:rsid w:val="00D27344"/>
    <w:rsid w:val="00D348CE"/>
    <w:rsid w:val="00D40F8E"/>
    <w:rsid w:val="00D4246A"/>
    <w:rsid w:val="00D470C6"/>
    <w:rsid w:val="00D52B93"/>
    <w:rsid w:val="00D53004"/>
    <w:rsid w:val="00D65EAA"/>
    <w:rsid w:val="00D70AB1"/>
    <w:rsid w:val="00D71350"/>
    <w:rsid w:val="00D720B5"/>
    <w:rsid w:val="00D736CF"/>
    <w:rsid w:val="00D836E6"/>
    <w:rsid w:val="00D872FC"/>
    <w:rsid w:val="00D91349"/>
    <w:rsid w:val="00D9370A"/>
    <w:rsid w:val="00D94294"/>
    <w:rsid w:val="00D9729F"/>
    <w:rsid w:val="00D9774E"/>
    <w:rsid w:val="00DA1D58"/>
    <w:rsid w:val="00DA30E1"/>
    <w:rsid w:val="00DA3524"/>
    <w:rsid w:val="00DA7F7F"/>
    <w:rsid w:val="00DB35A9"/>
    <w:rsid w:val="00DB3C21"/>
    <w:rsid w:val="00DB6AC9"/>
    <w:rsid w:val="00DB7EB2"/>
    <w:rsid w:val="00DC33C9"/>
    <w:rsid w:val="00DC3413"/>
    <w:rsid w:val="00DD3B63"/>
    <w:rsid w:val="00DD3C27"/>
    <w:rsid w:val="00DD5E37"/>
    <w:rsid w:val="00DD76DE"/>
    <w:rsid w:val="00DE275A"/>
    <w:rsid w:val="00DE7037"/>
    <w:rsid w:val="00DE723D"/>
    <w:rsid w:val="00DE7D0B"/>
    <w:rsid w:val="00DE7DCF"/>
    <w:rsid w:val="00DF1530"/>
    <w:rsid w:val="00DF1E53"/>
    <w:rsid w:val="00DF29C3"/>
    <w:rsid w:val="00DF447B"/>
    <w:rsid w:val="00DF5FB3"/>
    <w:rsid w:val="00E000EB"/>
    <w:rsid w:val="00E02E28"/>
    <w:rsid w:val="00E03C35"/>
    <w:rsid w:val="00E05C97"/>
    <w:rsid w:val="00E069ED"/>
    <w:rsid w:val="00E07B2D"/>
    <w:rsid w:val="00E142BD"/>
    <w:rsid w:val="00E20017"/>
    <w:rsid w:val="00E23F4C"/>
    <w:rsid w:val="00E24C6C"/>
    <w:rsid w:val="00E250B1"/>
    <w:rsid w:val="00E2562C"/>
    <w:rsid w:val="00E25905"/>
    <w:rsid w:val="00E379DC"/>
    <w:rsid w:val="00E45E88"/>
    <w:rsid w:val="00E46345"/>
    <w:rsid w:val="00E47EEE"/>
    <w:rsid w:val="00E53F89"/>
    <w:rsid w:val="00E60EE5"/>
    <w:rsid w:val="00E65237"/>
    <w:rsid w:val="00E658FF"/>
    <w:rsid w:val="00E71B58"/>
    <w:rsid w:val="00E7429F"/>
    <w:rsid w:val="00E758C6"/>
    <w:rsid w:val="00E75DD9"/>
    <w:rsid w:val="00E82FD1"/>
    <w:rsid w:val="00E83608"/>
    <w:rsid w:val="00E855F4"/>
    <w:rsid w:val="00E8622A"/>
    <w:rsid w:val="00E86688"/>
    <w:rsid w:val="00E90A44"/>
    <w:rsid w:val="00E925E0"/>
    <w:rsid w:val="00E97CC8"/>
    <w:rsid w:val="00EA2F66"/>
    <w:rsid w:val="00EA3DF0"/>
    <w:rsid w:val="00EA45C6"/>
    <w:rsid w:val="00EA5145"/>
    <w:rsid w:val="00EA5223"/>
    <w:rsid w:val="00EB3C0A"/>
    <w:rsid w:val="00EB5BF5"/>
    <w:rsid w:val="00EC6164"/>
    <w:rsid w:val="00EC6638"/>
    <w:rsid w:val="00ED07E9"/>
    <w:rsid w:val="00ED799A"/>
    <w:rsid w:val="00EE13AA"/>
    <w:rsid w:val="00EE2B34"/>
    <w:rsid w:val="00EE3121"/>
    <w:rsid w:val="00EE4779"/>
    <w:rsid w:val="00EE78AC"/>
    <w:rsid w:val="00EF05EA"/>
    <w:rsid w:val="00EF0FAE"/>
    <w:rsid w:val="00EF3432"/>
    <w:rsid w:val="00EF4543"/>
    <w:rsid w:val="00EF53BE"/>
    <w:rsid w:val="00EF5A21"/>
    <w:rsid w:val="00EF7D76"/>
    <w:rsid w:val="00F02AC7"/>
    <w:rsid w:val="00F03E77"/>
    <w:rsid w:val="00F04B03"/>
    <w:rsid w:val="00F10A47"/>
    <w:rsid w:val="00F11D64"/>
    <w:rsid w:val="00F12FD2"/>
    <w:rsid w:val="00F14DEF"/>
    <w:rsid w:val="00F21554"/>
    <w:rsid w:val="00F21570"/>
    <w:rsid w:val="00F24AAE"/>
    <w:rsid w:val="00F27457"/>
    <w:rsid w:val="00F3012F"/>
    <w:rsid w:val="00F3208D"/>
    <w:rsid w:val="00F32FC8"/>
    <w:rsid w:val="00F34671"/>
    <w:rsid w:val="00F4392A"/>
    <w:rsid w:val="00F4737B"/>
    <w:rsid w:val="00F50124"/>
    <w:rsid w:val="00F51862"/>
    <w:rsid w:val="00F53C8C"/>
    <w:rsid w:val="00F55670"/>
    <w:rsid w:val="00F55DCE"/>
    <w:rsid w:val="00F55F8F"/>
    <w:rsid w:val="00F565AB"/>
    <w:rsid w:val="00F578FD"/>
    <w:rsid w:val="00F60D54"/>
    <w:rsid w:val="00F63198"/>
    <w:rsid w:val="00F711DA"/>
    <w:rsid w:val="00F744ED"/>
    <w:rsid w:val="00F75B36"/>
    <w:rsid w:val="00F778EE"/>
    <w:rsid w:val="00F7799F"/>
    <w:rsid w:val="00F821F1"/>
    <w:rsid w:val="00F91330"/>
    <w:rsid w:val="00F96366"/>
    <w:rsid w:val="00F96C4F"/>
    <w:rsid w:val="00FA228E"/>
    <w:rsid w:val="00FA31EA"/>
    <w:rsid w:val="00FA4707"/>
    <w:rsid w:val="00FA600E"/>
    <w:rsid w:val="00FA7C8B"/>
    <w:rsid w:val="00FB2B25"/>
    <w:rsid w:val="00FB2E71"/>
    <w:rsid w:val="00FB7505"/>
    <w:rsid w:val="00FC0D21"/>
    <w:rsid w:val="00FC450E"/>
    <w:rsid w:val="00FD0230"/>
    <w:rsid w:val="00FD1371"/>
    <w:rsid w:val="00FD1CC8"/>
    <w:rsid w:val="00FD320B"/>
    <w:rsid w:val="00FE10B3"/>
    <w:rsid w:val="00FF3396"/>
    <w:rsid w:val="00FF403E"/>
    <w:rsid w:val="00FF559D"/>
    <w:rsid w:val="00FF697D"/>
    <w:rsid w:val="00FF6FFB"/>
    <w:rsid w:val="01223B82"/>
    <w:rsid w:val="016F1D40"/>
    <w:rsid w:val="03E33DD9"/>
    <w:rsid w:val="0FAD441B"/>
    <w:rsid w:val="15500EE4"/>
    <w:rsid w:val="16814D35"/>
    <w:rsid w:val="176C72F7"/>
    <w:rsid w:val="17D50F45"/>
    <w:rsid w:val="18973A8F"/>
    <w:rsid w:val="272B250C"/>
    <w:rsid w:val="2DCF21E3"/>
    <w:rsid w:val="31E242B8"/>
    <w:rsid w:val="346D7BCB"/>
    <w:rsid w:val="348D609E"/>
    <w:rsid w:val="3658101D"/>
    <w:rsid w:val="36795EDE"/>
    <w:rsid w:val="3E98676B"/>
    <w:rsid w:val="47983BE8"/>
    <w:rsid w:val="4B931DE9"/>
    <w:rsid w:val="50BE55B0"/>
    <w:rsid w:val="59A61CD2"/>
    <w:rsid w:val="5B1332C5"/>
    <w:rsid w:val="5FB2527F"/>
    <w:rsid w:val="63011BB9"/>
    <w:rsid w:val="67667244"/>
    <w:rsid w:val="6B0C2D7F"/>
    <w:rsid w:val="6BC40E47"/>
    <w:rsid w:val="6EC90D29"/>
    <w:rsid w:val="724A1C37"/>
    <w:rsid w:val="77CC40D6"/>
    <w:rsid w:val="78A43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CDEF029"/>
  <w15:docId w15:val="{6449E239-E7E2-4443-9005-02B062ED5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iPriority="99"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6376B"/>
    <w:pPr>
      <w:widowControl w:val="0"/>
      <w:jc w:val="both"/>
    </w:pPr>
    <w:rPr>
      <w:kern w:val="2"/>
      <w:sz w:val="21"/>
    </w:rPr>
  </w:style>
  <w:style w:type="paragraph" w:styleId="1">
    <w:name w:val="heading 1"/>
    <w:basedOn w:val="a"/>
    <w:next w:val="a"/>
    <w:link w:val="10"/>
    <w:uiPriority w:val="9"/>
    <w:qFormat/>
    <w:rsid w:val="0056376B"/>
    <w:pPr>
      <w:keepNext/>
      <w:keepLines/>
      <w:snapToGrid w:val="0"/>
      <w:spacing w:line="360" w:lineRule="auto"/>
      <w:ind w:firstLine="541"/>
      <w:outlineLvl w:val="0"/>
    </w:pPr>
    <w:rPr>
      <w:rFonts w:ascii="宋体" w:hAnsi="宋体"/>
      <w:b/>
      <w:color w:val="000000"/>
      <w:sz w:val="24"/>
    </w:rPr>
  </w:style>
  <w:style w:type="paragraph" w:styleId="2">
    <w:name w:val="heading 2"/>
    <w:basedOn w:val="a"/>
    <w:next w:val="a"/>
    <w:qFormat/>
    <w:rsid w:val="0056376B"/>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56376B"/>
    <w:pPr>
      <w:keepNext/>
      <w:keepLines/>
      <w:spacing w:before="260" w:after="260" w:line="416" w:lineRule="auto"/>
      <w:outlineLvl w:val="2"/>
    </w:pPr>
    <w:rPr>
      <w:b/>
      <w:bCs/>
      <w:sz w:val="32"/>
      <w:szCs w:val="32"/>
    </w:rPr>
  </w:style>
  <w:style w:type="paragraph" w:styleId="7">
    <w:name w:val="heading 7"/>
    <w:basedOn w:val="a"/>
    <w:next w:val="a"/>
    <w:link w:val="70"/>
    <w:semiHidden/>
    <w:unhideWhenUsed/>
    <w:qFormat/>
    <w:rsid w:val="00670326"/>
    <w:pPr>
      <w:keepNext/>
      <w:keepLines/>
      <w:spacing w:before="240" w:after="64" w:line="320" w:lineRule="auto"/>
      <w:outlineLvl w:val="6"/>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qFormat/>
    <w:rsid w:val="0056376B"/>
    <w:rPr>
      <w:b/>
      <w:bCs/>
    </w:rPr>
  </w:style>
  <w:style w:type="paragraph" w:styleId="a4">
    <w:name w:val="annotation text"/>
    <w:basedOn w:val="a"/>
    <w:link w:val="11"/>
    <w:qFormat/>
    <w:rsid w:val="0056376B"/>
    <w:pPr>
      <w:jc w:val="left"/>
    </w:pPr>
  </w:style>
  <w:style w:type="paragraph" w:styleId="a6">
    <w:name w:val="Document Map"/>
    <w:basedOn w:val="a"/>
    <w:link w:val="a7"/>
    <w:uiPriority w:val="99"/>
    <w:unhideWhenUsed/>
    <w:rsid w:val="0056376B"/>
    <w:rPr>
      <w:rFonts w:ascii="宋体" w:hAnsi="Calibri"/>
      <w:kern w:val="0"/>
      <w:sz w:val="18"/>
      <w:szCs w:val="18"/>
    </w:rPr>
  </w:style>
  <w:style w:type="paragraph" w:styleId="a8">
    <w:name w:val="Body Text Indent"/>
    <w:basedOn w:val="a"/>
    <w:link w:val="a9"/>
    <w:qFormat/>
    <w:rsid w:val="0056376B"/>
    <w:pPr>
      <w:autoSpaceDE w:val="0"/>
      <w:autoSpaceDN w:val="0"/>
      <w:adjustRightInd w:val="0"/>
      <w:spacing w:line="360" w:lineRule="auto"/>
      <w:ind w:firstLineChars="199" w:firstLine="478"/>
    </w:pPr>
    <w:rPr>
      <w:rFonts w:ascii="宋体" w:hAnsi="宋体"/>
      <w:kern w:val="0"/>
      <w:sz w:val="24"/>
      <w:szCs w:val="21"/>
    </w:rPr>
  </w:style>
  <w:style w:type="paragraph" w:styleId="aa">
    <w:name w:val="Plain Text"/>
    <w:basedOn w:val="a"/>
    <w:link w:val="ab"/>
    <w:qFormat/>
    <w:rsid w:val="0056376B"/>
    <w:rPr>
      <w:rFonts w:ascii="宋体" w:hAnsi="Courier New"/>
      <w:szCs w:val="21"/>
    </w:rPr>
  </w:style>
  <w:style w:type="paragraph" w:styleId="ac">
    <w:name w:val="Date"/>
    <w:basedOn w:val="a"/>
    <w:next w:val="a"/>
    <w:qFormat/>
    <w:rsid w:val="0056376B"/>
    <w:pPr>
      <w:ind w:leftChars="2500" w:left="100"/>
    </w:pPr>
    <w:rPr>
      <w:rFonts w:ascii="宋体" w:hAnsi="宋体"/>
      <w:sz w:val="24"/>
    </w:rPr>
  </w:style>
  <w:style w:type="paragraph" w:styleId="20">
    <w:name w:val="Body Text Indent 2"/>
    <w:basedOn w:val="a"/>
    <w:link w:val="21"/>
    <w:qFormat/>
    <w:rsid w:val="0056376B"/>
    <w:pPr>
      <w:spacing w:before="60" w:after="60"/>
      <w:ind w:left="479"/>
    </w:pPr>
    <w:rPr>
      <w:rFonts w:ascii="宋体"/>
      <w:sz w:val="24"/>
    </w:rPr>
  </w:style>
  <w:style w:type="paragraph" w:styleId="ad">
    <w:name w:val="Balloon Text"/>
    <w:basedOn w:val="a"/>
    <w:link w:val="ae"/>
    <w:uiPriority w:val="99"/>
    <w:semiHidden/>
    <w:qFormat/>
    <w:rsid w:val="0056376B"/>
    <w:rPr>
      <w:sz w:val="18"/>
      <w:szCs w:val="18"/>
    </w:rPr>
  </w:style>
  <w:style w:type="paragraph" w:styleId="af">
    <w:name w:val="footer"/>
    <w:basedOn w:val="a"/>
    <w:link w:val="af0"/>
    <w:uiPriority w:val="99"/>
    <w:qFormat/>
    <w:rsid w:val="0056376B"/>
    <w:pPr>
      <w:tabs>
        <w:tab w:val="center" w:pos="4153"/>
        <w:tab w:val="right" w:pos="8306"/>
      </w:tabs>
      <w:snapToGrid w:val="0"/>
      <w:jc w:val="left"/>
    </w:pPr>
    <w:rPr>
      <w:sz w:val="18"/>
      <w:szCs w:val="18"/>
    </w:rPr>
  </w:style>
  <w:style w:type="paragraph" w:styleId="af1">
    <w:name w:val="header"/>
    <w:basedOn w:val="a"/>
    <w:link w:val="af2"/>
    <w:uiPriority w:val="99"/>
    <w:qFormat/>
    <w:rsid w:val="0056376B"/>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rsid w:val="0056376B"/>
    <w:pPr>
      <w:tabs>
        <w:tab w:val="right" w:leader="hyphen" w:pos="8296"/>
      </w:tabs>
      <w:spacing w:line="360" w:lineRule="auto"/>
    </w:pPr>
    <w:rPr>
      <w:rFonts w:ascii="宋体" w:hAnsi="宋体"/>
      <w:sz w:val="24"/>
      <w:szCs w:val="24"/>
    </w:rPr>
  </w:style>
  <w:style w:type="character" w:styleId="af3">
    <w:name w:val="page number"/>
    <w:basedOn w:val="a0"/>
    <w:rsid w:val="0056376B"/>
  </w:style>
  <w:style w:type="character" w:styleId="af4">
    <w:name w:val="FollowedHyperlink"/>
    <w:rsid w:val="0056376B"/>
    <w:rPr>
      <w:color w:val="800080"/>
      <w:u w:val="single"/>
    </w:rPr>
  </w:style>
  <w:style w:type="character" w:styleId="af5">
    <w:name w:val="Hyperlink"/>
    <w:uiPriority w:val="99"/>
    <w:rsid w:val="0056376B"/>
    <w:rPr>
      <w:color w:val="0000FF"/>
      <w:u w:val="single"/>
    </w:rPr>
  </w:style>
  <w:style w:type="character" w:styleId="af6">
    <w:name w:val="annotation reference"/>
    <w:qFormat/>
    <w:rsid w:val="0056376B"/>
    <w:rPr>
      <w:sz w:val="21"/>
      <w:szCs w:val="21"/>
    </w:rPr>
  </w:style>
  <w:style w:type="character" w:customStyle="1" w:styleId="af2">
    <w:name w:val="页眉 字符"/>
    <w:link w:val="af1"/>
    <w:uiPriority w:val="99"/>
    <w:rsid w:val="0056376B"/>
    <w:rPr>
      <w:kern w:val="2"/>
      <w:sz w:val="18"/>
      <w:szCs w:val="18"/>
    </w:rPr>
  </w:style>
  <w:style w:type="character" w:customStyle="1" w:styleId="DeltaViewInsertion">
    <w:name w:val="DeltaView Insertion"/>
    <w:rsid w:val="0056376B"/>
    <w:rPr>
      <w:color w:val="0000FF"/>
      <w:spacing w:val="0"/>
      <w:u w:val="double"/>
    </w:rPr>
  </w:style>
  <w:style w:type="character" w:customStyle="1" w:styleId="21">
    <w:name w:val="正文文本缩进 2 字符"/>
    <w:link w:val="20"/>
    <w:rsid w:val="0056376B"/>
    <w:rPr>
      <w:rFonts w:ascii="宋体"/>
      <w:kern w:val="2"/>
      <w:sz w:val="24"/>
    </w:rPr>
  </w:style>
  <w:style w:type="character" w:customStyle="1" w:styleId="ab">
    <w:name w:val="纯文本 字符"/>
    <w:link w:val="aa"/>
    <w:rsid w:val="0056376B"/>
    <w:rPr>
      <w:rFonts w:ascii="宋体" w:hAnsi="Courier New" w:cs="Courier New"/>
      <w:kern w:val="2"/>
      <w:sz w:val="21"/>
      <w:szCs w:val="21"/>
    </w:rPr>
  </w:style>
  <w:style w:type="character" w:customStyle="1" w:styleId="e-arialb101">
    <w:name w:val="e-arialb101"/>
    <w:rsid w:val="0056376B"/>
    <w:rPr>
      <w:rFonts w:ascii="Arial" w:hAnsi="Arial" w:cs="Arial" w:hint="default"/>
      <w:color w:val="000000"/>
      <w:sz w:val="14"/>
      <w:szCs w:val="14"/>
    </w:rPr>
  </w:style>
  <w:style w:type="character" w:customStyle="1" w:styleId="10">
    <w:name w:val="标题 1 字符"/>
    <w:link w:val="1"/>
    <w:uiPriority w:val="9"/>
    <w:rsid w:val="0056376B"/>
    <w:rPr>
      <w:rFonts w:ascii="宋体" w:hAnsi="宋体"/>
      <w:b/>
      <w:color w:val="000000"/>
      <w:kern w:val="2"/>
      <w:sz w:val="24"/>
    </w:rPr>
  </w:style>
  <w:style w:type="character" w:customStyle="1" w:styleId="a5">
    <w:name w:val="批注主题 字符"/>
    <w:link w:val="a3"/>
    <w:uiPriority w:val="99"/>
    <w:semiHidden/>
    <w:rsid w:val="0056376B"/>
    <w:rPr>
      <w:b/>
      <w:bCs/>
      <w:kern w:val="2"/>
      <w:sz w:val="21"/>
    </w:rPr>
  </w:style>
  <w:style w:type="character" w:customStyle="1" w:styleId="a7">
    <w:name w:val="文档结构图 字符"/>
    <w:link w:val="a6"/>
    <w:uiPriority w:val="99"/>
    <w:rsid w:val="0056376B"/>
    <w:rPr>
      <w:rFonts w:ascii="宋体" w:hAnsi="Calibri"/>
      <w:sz w:val="18"/>
      <w:szCs w:val="18"/>
    </w:rPr>
  </w:style>
  <w:style w:type="character" w:customStyle="1" w:styleId="ae">
    <w:name w:val="批注框文本 字符"/>
    <w:link w:val="ad"/>
    <w:uiPriority w:val="99"/>
    <w:semiHidden/>
    <w:qFormat/>
    <w:rsid w:val="0056376B"/>
    <w:rPr>
      <w:kern w:val="2"/>
      <w:sz w:val="18"/>
      <w:szCs w:val="18"/>
    </w:rPr>
  </w:style>
  <w:style w:type="character" w:customStyle="1" w:styleId="11">
    <w:name w:val="批注文字 字符1"/>
    <w:link w:val="a4"/>
    <w:qFormat/>
    <w:rsid w:val="0056376B"/>
    <w:rPr>
      <w:kern w:val="2"/>
      <w:sz w:val="21"/>
    </w:rPr>
  </w:style>
  <w:style w:type="character" w:customStyle="1" w:styleId="a9">
    <w:name w:val="正文文本缩进 字符"/>
    <w:link w:val="a8"/>
    <w:qFormat/>
    <w:rsid w:val="0056376B"/>
    <w:rPr>
      <w:rFonts w:ascii="宋体" w:hAnsi="宋体" w:cs="Arial"/>
      <w:sz w:val="24"/>
      <w:szCs w:val="21"/>
    </w:rPr>
  </w:style>
  <w:style w:type="character" w:customStyle="1" w:styleId="apple-style-span">
    <w:name w:val="apple-style-span"/>
    <w:rsid w:val="0056376B"/>
  </w:style>
  <w:style w:type="character" w:customStyle="1" w:styleId="af0">
    <w:name w:val="页脚 字符"/>
    <w:link w:val="af"/>
    <w:uiPriority w:val="99"/>
    <w:qFormat/>
    <w:rsid w:val="0056376B"/>
    <w:rPr>
      <w:kern w:val="2"/>
      <w:sz w:val="18"/>
      <w:szCs w:val="18"/>
    </w:rPr>
  </w:style>
  <w:style w:type="paragraph" w:customStyle="1" w:styleId="12">
    <w:name w:val="修订1"/>
    <w:uiPriority w:val="99"/>
    <w:semiHidden/>
    <w:rsid w:val="0056376B"/>
    <w:rPr>
      <w:rFonts w:ascii="Calibri" w:hAnsi="Calibri"/>
      <w:kern w:val="2"/>
      <w:sz w:val="21"/>
      <w:szCs w:val="22"/>
    </w:rPr>
  </w:style>
  <w:style w:type="paragraph" w:customStyle="1" w:styleId="NormalJustified">
    <w:name w:val="Normal (Justified)"/>
    <w:basedOn w:val="a"/>
    <w:semiHidden/>
    <w:rsid w:val="0056376B"/>
    <w:pPr>
      <w:widowControl/>
      <w:snapToGrid w:val="0"/>
    </w:pPr>
    <w:rPr>
      <w:kern w:val="28"/>
      <w:sz w:val="24"/>
    </w:rPr>
  </w:style>
  <w:style w:type="paragraph" w:customStyle="1" w:styleId="CharCharCharCharCharCharCharCharCharCharCharCharChar1CharCharCharChar">
    <w:name w:val="Char Char Char Char Char Char Char Char Char Char Char Char Char1 Char Char Char Char"/>
    <w:basedOn w:val="a"/>
    <w:qFormat/>
    <w:rsid w:val="0056376B"/>
    <w:rPr>
      <w:rFonts w:ascii="Tahoma" w:hAnsi="Tahoma"/>
      <w:sz w:val="24"/>
      <w:szCs w:val="24"/>
    </w:rPr>
  </w:style>
  <w:style w:type="paragraph" w:customStyle="1" w:styleId="Default">
    <w:name w:val="Default"/>
    <w:qFormat/>
    <w:rsid w:val="0056376B"/>
    <w:pPr>
      <w:widowControl w:val="0"/>
      <w:autoSpaceDE w:val="0"/>
      <w:autoSpaceDN w:val="0"/>
      <w:adjustRightInd w:val="0"/>
    </w:pPr>
    <w:rPr>
      <w:rFonts w:ascii="宋体" w:hAnsi="Calibri" w:cs="宋体"/>
      <w:color w:val="000000"/>
      <w:sz w:val="24"/>
      <w:szCs w:val="24"/>
    </w:rPr>
  </w:style>
  <w:style w:type="paragraph" w:customStyle="1" w:styleId="Char">
    <w:name w:val="Char"/>
    <w:basedOn w:val="a"/>
    <w:rsid w:val="0056376B"/>
    <w:pPr>
      <w:widowControl/>
      <w:spacing w:after="160" w:line="240" w:lineRule="exact"/>
      <w:jc w:val="left"/>
    </w:pPr>
  </w:style>
  <w:style w:type="paragraph" w:customStyle="1" w:styleId="CharCharChar">
    <w:name w:val="Char Char Char"/>
    <w:basedOn w:val="a"/>
    <w:qFormat/>
    <w:rsid w:val="0056376B"/>
    <w:rPr>
      <w:szCs w:val="24"/>
    </w:rPr>
  </w:style>
  <w:style w:type="paragraph" w:customStyle="1" w:styleId="CharCharCharCharCharCharChar">
    <w:name w:val="Char Char Char Char Char Char Char"/>
    <w:basedOn w:val="a"/>
    <w:qFormat/>
    <w:rsid w:val="0056376B"/>
    <w:pPr>
      <w:tabs>
        <w:tab w:val="left" w:pos="360"/>
      </w:tabs>
      <w:adjustRightInd w:val="0"/>
      <w:textAlignment w:val="baseline"/>
    </w:pPr>
    <w:rPr>
      <w:sz w:val="24"/>
    </w:rPr>
  </w:style>
  <w:style w:type="paragraph" w:customStyle="1" w:styleId="CM16">
    <w:name w:val="CM16"/>
    <w:basedOn w:val="Default"/>
    <w:next w:val="Default"/>
    <w:qFormat/>
    <w:rsid w:val="0056376B"/>
    <w:pPr>
      <w:spacing w:line="471" w:lineRule="atLeast"/>
    </w:pPr>
    <w:rPr>
      <w:rFonts w:ascii="黑体" w:eastAsia="黑体" w:hAnsi="Times New Roman" w:cs="Times New Roman"/>
      <w:color w:val="auto"/>
    </w:rPr>
  </w:style>
  <w:style w:type="paragraph" w:customStyle="1" w:styleId="CharCharChar1CharCharCharChar">
    <w:name w:val="Char Char Char1 Char Char Char Char"/>
    <w:basedOn w:val="a"/>
    <w:qFormat/>
    <w:rsid w:val="0056376B"/>
    <w:pPr>
      <w:tabs>
        <w:tab w:val="left" w:pos="360"/>
      </w:tabs>
    </w:pPr>
    <w:rPr>
      <w:sz w:val="24"/>
      <w:szCs w:val="24"/>
    </w:rPr>
  </w:style>
  <w:style w:type="paragraph" w:customStyle="1" w:styleId="4CharCharCharChar">
    <w:name w:val="4 Char Char Char Char"/>
    <w:basedOn w:val="a"/>
    <w:qFormat/>
    <w:rsid w:val="0056376B"/>
    <w:rPr>
      <w:rFonts w:ascii="Tahoma" w:hAnsi="Tahoma"/>
      <w:sz w:val="24"/>
    </w:rPr>
  </w:style>
  <w:style w:type="paragraph" w:customStyle="1" w:styleId="CharCharCharCharCharChar1CharCharChar">
    <w:name w:val="Char Char Char Char Char Char1 Char Char Char"/>
    <w:basedOn w:val="a"/>
    <w:qFormat/>
    <w:rsid w:val="0056376B"/>
    <w:pPr>
      <w:autoSpaceDE w:val="0"/>
      <w:autoSpaceDN w:val="0"/>
      <w:adjustRightInd w:val="0"/>
      <w:jc w:val="left"/>
      <w:textAlignment w:val="baseline"/>
    </w:pPr>
  </w:style>
  <w:style w:type="character" w:customStyle="1" w:styleId="af7">
    <w:name w:val="批注文字 字符"/>
    <w:qFormat/>
    <w:rsid w:val="0056376B"/>
    <w:rPr>
      <w:rFonts w:ascii="Times New Roman" w:eastAsia="宋体" w:hAnsi="Times New Roman" w:cs="Times New Roman"/>
      <w:szCs w:val="24"/>
    </w:rPr>
  </w:style>
  <w:style w:type="paragraph" w:customStyle="1" w:styleId="22">
    <w:name w:val="修订2"/>
    <w:hidden/>
    <w:uiPriority w:val="99"/>
    <w:semiHidden/>
    <w:rsid w:val="0056376B"/>
    <w:rPr>
      <w:kern w:val="2"/>
      <w:sz w:val="21"/>
    </w:rPr>
  </w:style>
  <w:style w:type="paragraph" w:styleId="af8">
    <w:name w:val="Revision"/>
    <w:hidden/>
    <w:uiPriority w:val="99"/>
    <w:semiHidden/>
    <w:rsid w:val="00670326"/>
    <w:rPr>
      <w:kern w:val="2"/>
      <w:sz w:val="21"/>
    </w:rPr>
  </w:style>
  <w:style w:type="character" w:customStyle="1" w:styleId="70">
    <w:name w:val="标题 7 字符"/>
    <w:basedOn w:val="a0"/>
    <w:link w:val="7"/>
    <w:uiPriority w:val="9"/>
    <w:rsid w:val="00670326"/>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F2A6D-A871-4FB1-9F98-31B6885F3D7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5C87245A-C8BF-488F-B8D9-BB11EE54B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44</Pages>
  <Words>31535</Words>
  <Characters>32417</Characters>
  <Application>Microsoft Office Word</Application>
  <DocSecurity>0</DocSecurity>
  <Lines>1148</Lines>
  <Paragraphs>515</Paragraphs>
  <ScaleCrop>false</ScaleCrop>
  <Company/>
  <LinksUpToDate>false</LinksUpToDate>
  <CharactersWithSpaces>32575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刘斓</dc:creator>
  <cp:keywords/>
  <dc:description/>
  <cp:lastModifiedBy>研究发展部-张誉耀</cp:lastModifiedBy>
  <cp:revision>12</cp:revision>
  <cp:lastPrinted>2020-06-29T02:44:00Z</cp:lastPrinted>
  <dcterms:created xsi:type="dcterms:W3CDTF">2025-03-20T07:10:00Z</dcterms:created>
  <dcterms:modified xsi:type="dcterms:W3CDTF">2025-06-11T06:55:00Z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